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915F7F" w:rsidRDefault="003276B7" w:rsidP="00625340">
      <w:pPr>
        <w:spacing w:after="0" w:line="360" w:lineRule="auto"/>
        <w:jc w:val="both"/>
        <w:rPr>
          <w:rFonts w:ascii="Palatino Linotype" w:hAnsi="Palatino Linotype" w:cs="Arial"/>
          <w:b/>
          <w:sz w:val="24"/>
          <w:szCs w:val="24"/>
        </w:rPr>
      </w:pPr>
      <w:r w:rsidRPr="00915F7F">
        <w:rPr>
          <w:rFonts w:ascii="Palatino Linotype" w:hAnsi="Palatino Linotype" w:cs="Arial"/>
          <w:b/>
          <w:sz w:val="24"/>
          <w:szCs w:val="24"/>
        </w:rPr>
        <w:t xml:space="preserve"> </w:t>
      </w:r>
      <w:r w:rsidR="00C02AF0" w:rsidRPr="00915F7F">
        <w:rPr>
          <w:rFonts w:ascii="Palatino Linotype" w:hAnsi="Palatino Linotype" w:cs="Arial"/>
          <w:b/>
          <w:sz w:val="24"/>
          <w:szCs w:val="24"/>
        </w:rPr>
        <w:t>VOTO</w:t>
      </w:r>
      <w:r w:rsidR="00625340" w:rsidRPr="00915F7F">
        <w:rPr>
          <w:rFonts w:ascii="Palatino Linotype" w:hAnsi="Palatino Linotype" w:cs="Arial"/>
          <w:b/>
          <w:sz w:val="24"/>
          <w:szCs w:val="24"/>
        </w:rPr>
        <w:t xml:space="preserve"> PARTICULAR DEL COMISIONADO JOSÉ GUADALUPE LUNA HERNÁNDEZ EN EL RECURSO DE REVISIÓN </w:t>
      </w:r>
      <w:r w:rsidR="00F072AC" w:rsidRPr="00915F7F">
        <w:rPr>
          <w:rFonts w:ascii="Palatino Linotype" w:hAnsi="Palatino Linotype" w:cs="Arial"/>
          <w:b/>
          <w:sz w:val="24"/>
          <w:szCs w:val="24"/>
        </w:rPr>
        <w:t>0</w:t>
      </w:r>
      <w:r w:rsidR="00A55FE3">
        <w:rPr>
          <w:rFonts w:ascii="Palatino Linotype" w:hAnsi="Palatino Linotype" w:cs="Arial"/>
          <w:b/>
          <w:sz w:val="24"/>
          <w:szCs w:val="24"/>
        </w:rPr>
        <w:t>3</w:t>
      </w:r>
      <w:r w:rsidR="00F072AC" w:rsidRPr="00915F7F">
        <w:rPr>
          <w:rFonts w:ascii="Palatino Linotype" w:hAnsi="Palatino Linotype" w:cs="Arial"/>
          <w:b/>
          <w:sz w:val="24"/>
          <w:szCs w:val="24"/>
        </w:rPr>
        <w:t>547</w:t>
      </w:r>
      <w:r w:rsidR="00625340" w:rsidRPr="00915F7F">
        <w:rPr>
          <w:rFonts w:ascii="Palatino Linotype" w:hAnsi="Palatino Linotype" w:cs="Arial"/>
          <w:b/>
          <w:sz w:val="24"/>
          <w:szCs w:val="24"/>
        </w:rPr>
        <w:t>/INFOEM/IP/RR/201</w:t>
      </w:r>
      <w:r w:rsidR="00F072AC" w:rsidRPr="00915F7F">
        <w:rPr>
          <w:rFonts w:ascii="Palatino Linotype" w:hAnsi="Palatino Linotype" w:cs="Arial"/>
          <w:b/>
          <w:sz w:val="24"/>
          <w:szCs w:val="24"/>
        </w:rPr>
        <w:t>8</w:t>
      </w:r>
      <w:r w:rsidR="00625340" w:rsidRPr="00915F7F">
        <w:rPr>
          <w:rFonts w:ascii="Palatino Linotype" w:hAnsi="Palatino Linotype" w:cs="Arial"/>
          <w:b/>
          <w:sz w:val="24"/>
          <w:szCs w:val="24"/>
        </w:rPr>
        <w:t>.</w:t>
      </w:r>
    </w:p>
    <w:p w:rsidR="00625340" w:rsidRPr="00915F7F" w:rsidRDefault="00625340" w:rsidP="00625340">
      <w:pPr>
        <w:spacing w:after="0" w:line="360" w:lineRule="auto"/>
        <w:jc w:val="both"/>
        <w:rPr>
          <w:rFonts w:ascii="Palatino Linotype" w:hAnsi="Palatino Linotype" w:cs="Arial"/>
          <w:b/>
          <w:sz w:val="24"/>
          <w:szCs w:val="24"/>
        </w:rPr>
      </w:pPr>
    </w:p>
    <w:p w:rsidR="006773C0" w:rsidRPr="00915F7F" w:rsidRDefault="00625340" w:rsidP="00625340">
      <w:pPr>
        <w:spacing w:after="0" w:line="360" w:lineRule="auto"/>
        <w:jc w:val="both"/>
        <w:rPr>
          <w:rFonts w:ascii="Palatino Linotype" w:hAnsi="Palatino Linotype" w:cs="Arial"/>
          <w:b/>
          <w:sz w:val="24"/>
          <w:szCs w:val="24"/>
        </w:rPr>
      </w:pPr>
      <w:r w:rsidRPr="00915F7F">
        <w:rPr>
          <w:rFonts w:ascii="Palatino Linotype" w:hAnsi="Palatino Linotype" w:cs="Arial"/>
          <w:b/>
          <w:sz w:val="24"/>
          <w:szCs w:val="24"/>
        </w:rPr>
        <w:t>Líneas argumentativas:</w:t>
      </w:r>
    </w:p>
    <w:p w:rsidR="00F072AC" w:rsidRPr="00915F7F" w:rsidRDefault="00F072AC" w:rsidP="00F072AC">
      <w:pPr>
        <w:spacing w:before="240" w:after="240" w:line="360" w:lineRule="auto"/>
        <w:jc w:val="both"/>
        <w:rPr>
          <w:rFonts w:ascii="Palatino Linotype" w:eastAsia="Calibri" w:hAnsi="Palatino Linotype" w:cs="Arial"/>
          <w:b/>
          <w:sz w:val="24"/>
          <w:szCs w:val="24"/>
          <w:lang w:val="es-ES" w:eastAsia="es-MX"/>
        </w:rPr>
      </w:pPr>
      <w:r w:rsidRPr="00915F7F">
        <w:rPr>
          <w:rFonts w:ascii="Palatino Linotype" w:hAnsi="Palatino Linotype"/>
          <w:sz w:val="24"/>
          <w:szCs w:val="24"/>
        </w:rPr>
        <w:t xml:space="preserve">Procede el sobreseimiento cuando el acto impugnado queda sin efectos como </w:t>
      </w:r>
      <w:proofErr w:type="gramStart"/>
      <w:r w:rsidRPr="00915F7F">
        <w:rPr>
          <w:rFonts w:ascii="Palatino Linotype" w:hAnsi="Palatino Linotype"/>
          <w:sz w:val="24"/>
          <w:szCs w:val="24"/>
        </w:rPr>
        <w:t>consecuencia</w:t>
      </w:r>
      <w:proofErr w:type="gramEnd"/>
      <w:r w:rsidRPr="00915F7F">
        <w:rPr>
          <w:rFonts w:ascii="Palatino Linotype" w:hAnsi="Palatino Linotype"/>
          <w:sz w:val="24"/>
          <w:szCs w:val="24"/>
        </w:rPr>
        <w:t xml:space="preserve"> de la aparición de alguna causal de improcedencia, cuando en otro recurso de revisión se haya hecho referencia a la misma materia, Sujeto Obligado, Recurrente y Objeto que no haya causado estado y este deje satisfecha la pretensión del particular.</w:t>
      </w:r>
    </w:p>
    <w:p w:rsidR="00F072AC" w:rsidRPr="00915F7F" w:rsidRDefault="00F072AC" w:rsidP="00625340">
      <w:pPr>
        <w:spacing w:after="0" w:line="360" w:lineRule="auto"/>
        <w:jc w:val="both"/>
        <w:rPr>
          <w:rFonts w:ascii="Palatino Linotype" w:hAnsi="Palatino Linotype" w:cs="Arial"/>
          <w:b/>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rFonts w:ascii="Palatino Linotype" w:hAnsi="Palatino Linotype"/>
          <w:bCs/>
        </w:rPr>
      </w:sdtEndPr>
      <w:sdtContent>
        <w:p w:rsidR="00625340" w:rsidRPr="00915F7F" w:rsidRDefault="00625340">
          <w:pPr>
            <w:pStyle w:val="TtulodeTDC"/>
            <w:rPr>
              <w:szCs w:val="24"/>
            </w:rPr>
          </w:pPr>
          <w:r w:rsidRPr="00915F7F">
            <w:rPr>
              <w:szCs w:val="24"/>
              <w:lang w:val="es-ES"/>
            </w:rPr>
            <w:t>Índice</w:t>
          </w:r>
        </w:p>
        <w:p w:rsidR="00A55FE3" w:rsidRPr="00A55FE3" w:rsidRDefault="00625340">
          <w:pPr>
            <w:pStyle w:val="TDC1"/>
            <w:tabs>
              <w:tab w:val="left" w:pos="440"/>
              <w:tab w:val="right" w:leader="dot" w:pos="8828"/>
            </w:tabs>
            <w:rPr>
              <w:rFonts w:eastAsiaTheme="minorEastAsia"/>
              <w:noProof/>
              <w:lang w:eastAsia="es-MX"/>
            </w:rPr>
          </w:pPr>
          <w:r w:rsidRPr="00A55FE3">
            <w:rPr>
              <w:rFonts w:ascii="Palatino Linotype" w:hAnsi="Palatino Linotype"/>
              <w:sz w:val="24"/>
              <w:szCs w:val="24"/>
            </w:rPr>
            <w:fldChar w:fldCharType="begin"/>
          </w:r>
          <w:r w:rsidRPr="00A55FE3">
            <w:rPr>
              <w:rFonts w:ascii="Palatino Linotype" w:hAnsi="Palatino Linotype"/>
              <w:sz w:val="24"/>
              <w:szCs w:val="24"/>
            </w:rPr>
            <w:instrText xml:space="preserve"> TOC \o "1-3" \h \z \u </w:instrText>
          </w:r>
          <w:r w:rsidRPr="00A55FE3">
            <w:rPr>
              <w:rFonts w:ascii="Palatino Linotype" w:hAnsi="Palatino Linotype"/>
              <w:sz w:val="24"/>
              <w:szCs w:val="24"/>
            </w:rPr>
            <w:fldChar w:fldCharType="separate"/>
          </w:r>
          <w:hyperlink w:anchor="_Toc531012796" w:history="1">
            <w:r w:rsidR="00A55FE3" w:rsidRPr="00A55FE3">
              <w:rPr>
                <w:rStyle w:val="Hipervnculo"/>
                <w:noProof/>
              </w:rPr>
              <w:t>I.</w:t>
            </w:r>
            <w:r w:rsidR="00A55FE3">
              <w:rPr>
                <w:rFonts w:eastAsiaTheme="minorEastAsia"/>
                <w:noProof/>
                <w:lang w:eastAsia="es-MX"/>
              </w:rPr>
              <w:t xml:space="preserve"> </w:t>
            </w:r>
            <w:r w:rsidR="00A55FE3" w:rsidRPr="00A55FE3">
              <w:rPr>
                <w:rStyle w:val="Hipervnculo"/>
                <w:noProof/>
              </w:rPr>
              <w:t>Consideraciones Generales</w:t>
            </w:r>
            <w:r w:rsidR="00A55FE3" w:rsidRPr="00A55FE3">
              <w:rPr>
                <w:noProof/>
                <w:webHidden/>
              </w:rPr>
              <w:tab/>
            </w:r>
            <w:r w:rsidR="00A55FE3" w:rsidRPr="00A55FE3">
              <w:rPr>
                <w:noProof/>
                <w:webHidden/>
              </w:rPr>
              <w:fldChar w:fldCharType="begin"/>
            </w:r>
            <w:r w:rsidR="00A55FE3" w:rsidRPr="00A55FE3">
              <w:rPr>
                <w:noProof/>
                <w:webHidden/>
              </w:rPr>
              <w:instrText xml:space="preserve"> PAGEREF _Toc531012796 \h </w:instrText>
            </w:r>
            <w:r w:rsidR="00A55FE3" w:rsidRPr="00A55FE3">
              <w:rPr>
                <w:noProof/>
                <w:webHidden/>
              </w:rPr>
            </w:r>
            <w:r w:rsidR="00A55FE3" w:rsidRPr="00A55FE3">
              <w:rPr>
                <w:noProof/>
                <w:webHidden/>
              </w:rPr>
              <w:fldChar w:fldCharType="separate"/>
            </w:r>
            <w:r w:rsidR="00A55FE3" w:rsidRPr="00A55FE3">
              <w:rPr>
                <w:noProof/>
                <w:webHidden/>
              </w:rPr>
              <w:t>1</w:t>
            </w:r>
            <w:r w:rsidR="00A55FE3" w:rsidRPr="00A55FE3">
              <w:rPr>
                <w:noProof/>
                <w:webHidden/>
              </w:rPr>
              <w:fldChar w:fldCharType="end"/>
            </w:r>
          </w:hyperlink>
        </w:p>
        <w:p w:rsidR="00A55FE3" w:rsidRPr="00A55FE3" w:rsidRDefault="008228EE">
          <w:pPr>
            <w:pStyle w:val="TDC1"/>
            <w:tabs>
              <w:tab w:val="right" w:leader="dot" w:pos="8828"/>
            </w:tabs>
            <w:rPr>
              <w:rFonts w:eastAsiaTheme="minorEastAsia"/>
              <w:noProof/>
              <w:lang w:eastAsia="es-MX"/>
            </w:rPr>
          </w:pPr>
          <w:hyperlink w:anchor="_Toc531012797" w:history="1">
            <w:r w:rsidR="00A55FE3" w:rsidRPr="00A55FE3">
              <w:rPr>
                <w:rStyle w:val="Hipervnculo"/>
                <w:noProof/>
              </w:rPr>
              <w:t xml:space="preserve">II.  De la información </w:t>
            </w:r>
            <w:r w:rsidR="00A55FE3" w:rsidRPr="00A55FE3">
              <w:rPr>
                <w:rStyle w:val="Hipervnculo"/>
                <w:rFonts w:ascii="Palatino Linotype" w:hAnsi="Palatino Linotype"/>
                <w:noProof/>
                <w:sz w:val="24"/>
                <w:szCs w:val="24"/>
              </w:rPr>
              <w:t>solicitada</w:t>
            </w:r>
            <w:r w:rsidR="00A55FE3" w:rsidRPr="00A55FE3">
              <w:rPr>
                <w:rStyle w:val="Hipervnculo"/>
                <w:noProof/>
              </w:rPr>
              <w:t>. .</w:t>
            </w:r>
            <w:r w:rsidR="00A55FE3" w:rsidRPr="00A55FE3">
              <w:rPr>
                <w:noProof/>
                <w:webHidden/>
              </w:rPr>
              <w:tab/>
            </w:r>
            <w:r w:rsidR="00A55FE3" w:rsidRPr="00A55FE3">
              <w:rPr>
                <w:noProof/>
                <w:webHidden/>
              </w:rPr>
              <w:fldChar w:fldCharType="begin"/>
            </w:r>
            <w:r w:rsidR="00A55FE3" w:rsidRPr="00A55FE3">
              <w:rPr>
                <w:noProof/>
                <w:webHidden/>
              </w:rPr>
              <w:instrText xml:space="preserve"> PAGEREF _Toc531012797 \h </w:instrText>
            </w:r>
            <w:r w:rsidR="00A55FE3" w:rsidRPr="00A55FE3">
              <w:rPr>
                <w:noProof/>
                <w:webHidden/>
              </w:rPr>
            </w:r>
            <w:r w:rsidR="00A55FE3" w:rsidRPr="00A55FE3">
              <w:rPr>
                <w:noProof/>
                <w:webHidden/>
              </w:rPr>
              <w:fldChar w:fldCharType="separate"/>
            </w:r>
            <w:r w:rsidR="00A55FE3" w:rsidRPr="00A55FE3">
              <w:rPr>
                <w:noProof/>
                <w:webHidden/>
              </w:rPr>
              <w:t>3</w:t>
            </w:r>
            <w:r w:rsidR="00A55FE3" w:rsidRPr="00A55FE3">
              <w:rPr>
                <w:noProof/>
                <w:webHidden/>
              </w:rPr>
              <w:fldChar w:fldCharType="end"/>
            </w:r>
          </w:hyperlink>
        </w:p>
        <w:p w:rsidR="00A55FE3" w:rsidRPr="00A55FE3" w:rsidRDefault="008228EE" w:rsidP="00A55FE3">
          <w:pPr>
            <w:pStyle w:val="TDC2"/>
            <w:tabs>
              <w:tab w:val="left" w:pos="880"/>
              <w:tab w:val="right" w:leader="dot" w:pos="8828"/>
            </w:tabs>
            <w:ind w:left="0"/>
            <w:rPr>
              <w:rFonts w:eastAsiaTheme="minorEastAsia"/>
              <w:noProof/>
              <w:lang w:eastAsia="es-MX"/>
            </w:rPr>
          </w:pPr>
          <w:hyperlink w:anchor="_Toc531012798" w:history="1">
            <w:r w:rsidR="00A55FE3" w:rsidRPr="00A55FE3">
              <w:rPr>
                <w:rStyle w:val="Hipervnculo"/>
                <w:rFonts w:ascii="Palatino Linotype" w:eastAsiaTheme="majorEastAsia" w:hAnsi="Palatino Linotype" w:cs="Arial"/>
                <w:iCs/>
                <w:noProof/>
              </w:rPr>
              <w:t>III.</w:t>
            </w:r>
            <w:r w:rsidR="00A55FE3">
              <w:rPr>
                <w:rFonts w:eastAsiaTheme="minorEastAsia"/>
                <w:noProof/>
                <w:lang w:eastAsia="es-MX"/>
              </w:rPr>
              <w:t xml:space="preserve"> </w:t>
            </w:r>
            <w:r w:rsidR="00A55FE3" w:rsidRPr="00A55FE3">
              <w:rPr>
                <w:rStyle w:val="Hipervnculo"/>
                <w:rFonts w:ascii="Palatino Linotype" w:eastAsia="Times New Roman" w:hAnsi="Palatino Linotype" w:cs="Arial"/>
                <w:noProof/>
                <w:lang w:val="es-ES" w:eastAsia="es-MX"/>
              </w:rPr>
              <w:t>De las resoluciones de este Órgano Garante</w:t>
            </w:r>
            <w:r w:rsidR="00A55FE3" w:rsidRPr="00A55FE3">
              <w:rPr>
                <w:noProof/>
                <w:webHidden/>
              </w:rPr>
              <w:tab/>
            </w:r>
            <w:r w:rsidR="00A55FE3" w:rsidRPr="00A55FE3">
              <w:rPr>
                <w:noProof/>
                <w:webHidden/>
              </w:rPr>
              <w:fldChar w:fldCharType="begin"/>
            </w:r>
            <w:r w:rsidR="00A55FE3" w:rsidRPr="00A55FE3">
              <w:rPr>
                <w:noProof/>
                <w:webHidden/>
              </w:rPr>
              <w:instrText xml:space="preserve"> PAGEREF _Toc531012798 \h </w:instrText>
            </w:r>
            <w:r w:rsidR="00A55FE3" w:rsidRPr="00A55FE3">
              <w:rPr>
                <w:noProof/>
                <w:webHidden/>
              </w:rPr>
            </w:r>
            <w:r w:rsidR="00A55FE3" w:rsidRPr="00A55FE3">
              <w:rPr>
                <w:noProof/>
                <w:webHidden/>
              </w:rPr>
              <w:fldChar w:fldCharType="separate"/>
            </w:r>
            <w:r w:rsidR="00A55FE3" w:rsidRPr="00A55FE3">
              <w:rPr>
                <w:noProof/>
                <w:webHidden/>
              </w:rPr>
              <w:t>4</w:t>
            </w:r>
            <w:r w:rsidR="00A55FE3" w:rsidRPr="00A55FE3">
              <w:rPr>
                <w:noProof/>
                <w:webHidden/>
              </w:rPr>
              <w:fldChar w:fldCharType="end"/>
            </w:r>
          </w:hyperlink>
        </w:p>
        <w:p w:rsidR="00A55FE3" w:rsidRPr="00A55FE3" w:rsidRDefault="008228EE" w:rsidP="00A55FE3">
          <w:pPr>
            <w:pStyle w:val="TDC2"/>
            <w:tabs>
              <w:tab w:val="left" w:pos="880"/>
              <w:tab w:val="right" w:leader="dot" w:pos="8828"/>
            </w:tabs>
            <w:ind w:left="0"/>
            <w:rPr>
              <w:rFonts w:eastAsiaTheme="minorEastAsia"/>
              <w:noProof/>
              <w:lang w:eastAsia="es-MX"/>
            </w:rPr>
          </w:pPr>
          <w:hyperlink w:anchor="_Toc531012799" w:history="1">
            <w:r w:rsidR="00A55FE3" w:rsidRPr="00A55FE3">
              <w:rPr>
                <w:rStyle w:val="Hipervnculo"/>
                <w:rFonts w:ascii="Palatino Linotype" w:eastAsiaTheme="majorEastAsia" w:hAnsi="Palatino Linotype" w:cs="Arial"/>
                <w:iCs/>
                <w:noProof/>
              </w:rPr>
              <w:t>IV.</w:t>
            </w:r>
            <w:r w:rsidR="00A55FE3">
              <w:rPr>
                <w:rFonts w:eastAsiaTheme="minorEastAsia"/>
                <w:noProof/>
                <w:lang w:eastAsia="es-MX"/>
              </w:rPr>
              <w:t xml:space="preserve"> </w:t>
            </w:r>
            <w:r w:rsidR="00A55FE3" w:rsidRPr="00A55FE3">
              <w:rPr>
                <w:rStyle w:val="Hipervnculo"/>
                <w:rFonts w:ascii="Palatino Linotype" w:eastAsiaTheme="majorEastAsia" w:hAnsi="Palatino Linotype" w:cs="Arial"/>
                <w:iCs/>
                <w:noProof/>
              </w:rPr>
              <w:t>De la improcedencia del recurso de revisión</w:t>
            </w:r>
            <w:r w:rsidR="00A55FE3" w:rsidRPr="00A55FE3">
              <w:rPr>
                <w:noProof/>
                <w:webHidden/>
              </w:rPr>
              <w:tab/>
            </w:r>
            <w:r w:rsidR="00A55FE3" w:rsidRPr="00A55FE3">
              <w:rPr>
                <w:noProof/>
                <w:webHidden/>
              </w:rPr>
              <w:fldChar w:fldCharType="begin"/>
            </w:r>
            <w:r w:rsidR="00A55FE3" w:rsidRPr="00A55FE3">
              <w:rPr>
                <w:noProof/>
                <w:webHidden/>
              </w:rPr>
              <w:instrText xml:space="preserve"> PAGEREF _Toc531012799 \h </w:instrText>
            </w:r>
            <w:r w:rsidR="00A55FE3" w:rsidRPr="00A55FE3">
              <w:rPr>
                <w:noProof/>
                <w:webHidden/>
              </w:rPr>
            </w:r>
            <w:r w:rsidR="00A55FE3" w:rsidRPr="00A55FE3">
              <w:rPr>
                <w:noProof/>
                <w:webHidden/>
              </w:rPr>
              <w:fldChar w:fldCharType="separate"/>
            </w:r>
            <w:r w:rsidR="00A55FE3" w:rsidRPr="00A55FE3">
              <w:rPr>
                <w:noProof/>
                <w:webHidden/>
              </w:rPr>
              <w:t>10</w:t>
            </w:r>
            <w:r w:rsidR="00A55FE3" w:rsidRPr="00A55FE3">
              <w:rPr>
                <w:noProof/>
                <w:webHidden/>
              </w:rPr>
              <w:fldChar w:fldCharType="end"/>
            </w:r>
          </w:hyperlink>
        </w:p>
        <w:p w:rsidR="00625340" w:rsidRPr="00A55FE3" w:rsidRDefault="00625340">
          <w:pPr>
            <w:rPr>
              <w:rFonts w:ascii="Palatino Linotype" w:hAnsi="Palatino Linotype"/>
              <w:sz w:val="24"/>
              <w:szCs w:val="24"/>
            </w:rPr>
          </w:pPr>
          <w:r w:rsidRPr="00A55FE3">
            <w:rPr>
              <w:rFonts w:ascii="Palatino Linotype" w:hAnsi="Palatino Linotype"/>
              <w:bCs/>
              <w:sz w:val="24"/>
              <w:szCs w:val="24"/>
              <w:lang w:val="es-ES"/>
            </w:rPr>
            <w:fldChar w:fldCharType="end"/>
          </w:r>
        </w:p>
      </w:sdtContent>
    </w:sdt>
    <w:p w:rsidR="00625340" w:rsidRPr="00915F7F" w:rsidRDefault="00625340" w:rsidP="003431E5">
      <w:pPr>
        <w:pStyle w:val="Ttulo1"/>
        <w:numPr>
          <w:ilvl w:val="0"/>
          <w:numId w:val="15"/>
        </w:numPr>
        <w:rPr>
          <w:szCs w:val="24"/>
        </w:rPr>
      </w:pPr>
      <w:bookmarkStart w:id="0" w:name="_Toc531012796"/>
      <w:r w:rsidRPr="00915F7F">
        <w:rPr>
          <w:szCs w:val="24"/>
        </w:rPr>
        <w:t>Consideraciones Generales</w:t>
      </w:r>
      <w:bookmarkEnd w:id="0"/>
    </w:p>
    <w:p w:rsidR="003431E5" w:rsidRPr="00915F7F" w:rsidRDefault="003431E5" w:rsidP="003431E5">
      <w:pPr>
        <w:rPr>
          <w:sz w:val="24"/>
          <w:szCs w:val="24"/>
        </w:rPr>
      </w:pPr>
    </w:p>
    <w:p w:rsidR="00625340" w:rsidRPr="00915F7F"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sidRPr="00915F7F">
        <w:rPr>
          <w:rFonts w:ascii="Palatino Linotype" w:eastAsia="Times New Roman" w:hAnsi="Palatino Linotype" w:cs="Arial"/>
          <w:sz w:val="24"/>
          <w:szCs w:val="24"/>
          <w:lang w:val="es-ES_tradnl"/>
        </w:rPr>
        <w:t xml:space="preserve">He concurrido con mi </w:t>
      </w:r>
      <w:r w:rsidR="00C02AF0" w:rsidRPr="00915F7F">
        <w:rPr>
          <w:rFonts w:ascii="Palatino Linotype" w:eastAsia="Times New Roman" w:hAnsi="Palatino Linotype" w:cs="Arial"/>
          <w:sz w:val="24"/>
          <w:szCs w:val="24"/>
          <w:lang w:val="es-ES_tradnl"/>
        </w:rPr>
        <w:t>voto</w:t>
      </w:r>
      <w:r w:rsidR="00625340" w:rsidRPr="00915F7F">
        <w:rPr>
          <w:rFonts w:ascii="Palatino Linotype" w:eastAsia="Times New Roman" w:hAnsi="Palatino Linotype" w:cs="Arial"/>
          <w:sz w:val="24"/>
          <w:szCs w:val="24"/>
          <w:lang w:val="es-ES_tradnl"/>
        </w:rPr>
        <w:t xml:space="preserve"> particular de la presente resolución emitida </w:t>
      </w:r>
      <w:r w:rsidR="00625340" w:rsidRPr="00915F7F">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465D03" w:rsidRPr="00915F7F">
        <w:rPr>
          <w:rFonts w:ascii="Palatino Linotype" w:hAnsi="Palatino Linotype" w:cs="Arial"/>
          <w:sz w:val="24"/>
          <w:szCs w:val="24"/>
        </w:rPr>
        <w:t>cuadragésima</w:t>
      </w:r>
      <w:r w:rsidR="00175E9F" w:rsidRPr="00915F7F">
        <w:rPr>
          <w:rFonts w:ascii="Palatino Linotype" w:hAnsi="Palatino Linotype" w:cs="Arial"/>
          <w:sz w:val="24"/>
          <w:szCs w:val="24"/>
        </w:rPr>
        <w:t xml:space="preserve"> </w:t>
      </w:r>
      <w:r w:rsidR="00F072AC" w:rsidRPr="00915F7F">
        <w:rPr>
          <w:rFonts w:ascii="Palatino Linotype" w:hAnsi="Palatino Linotype" w:cs="Arial"/>
          <w:sz w:val="24"/>
          <w:szCs w:val="24"/>
        </w:rPr>
        <w:t>tercera</w:t>
      </w:r>
      <w:r w:rsidR="00F74AB6" w:rsidRPr="00915F7F">
        <w:rPr>
          <w:rFonts w:ascii="Palatino Linotype" w:hAnsi="Palatino Linotype" w:cs="Arial"/>
          <w:sz w:val="24"/>
          <w:szCs w:val="24"/>
        </w:rPr>
        <w:t xml:space="preserve"> </w:t>
      </w:r>
      <w:r w:rsidR="00175E9F" w:rsidRPr="00915F7F">
        <w:rPr>
          <w:rFonts w:ascii="Palatino Linotype" w:hAnsi="Palatino Linotype" w:cs="Arial"/>
          <w:sz w:val="24"/>
          <w:szCs w:val="24"/>
        </w:rPr>
        <w:t xml:space="preserve">sesión ordinaria del día </w:t>
      </w:r>
      <w:r w:rsidR="00F072AC" w:rsidRPr="00915F7F">
        <w:rPr>
          <w:rFonts w:ascii="Palatino Linotype" w:hAnsi="Palatino Linotype" w:cs="Arial"/>
          <w:sz w:val="24"/>
          <w:szCs w:val="24"/>
        </w:rPr>
        <w:t>veintidós (22)</w:t>
      </w:r>
      <w:r w:rsidR="00175E9F" w:rsidRPr="00915F7F">
        <w:rPr>
          <w:rFonts w:ascii="Palatino Linotype" w:hAnsi="Palatino Linotype" w:cs="Arial"/>
          <w:sz w:val="24"/>
          <w:szCs w:val="24"/>
        </w:rPr>
        <w:t xml:space="preserve"> de </w:t>
      </w:r>
      <w:r w:rsidR="00F072AC" w:rsidRPr="00915F7F">
        <w:rPr>
          <w:rFonts w:ascii="Palatino Linotype" w:hAnsi="Palatino Linotype" w:cs="Arial"/>
          <w:sz w:val="24"/>
          <w:szCs w:val="24"/>
        </w:rPr>
        <w:t>noviembre</w:t>
      </w:r>
      <w:r w:rsidR="00175E9F" w:rsidRPr="00915F7F">
        <w:rPr>
          <w:rFonts w:ascii="Palatino Linotype" w:hAnsi="Palatino Linotype" w:cs="Arial"/>
          <w:sz w:val="24"/>
          <w:szCs w:val="24"/>
        </w:rPr>
        <w:t xml:space="preserve"> de dos mil dieci</w:t>
      </w:r>
      <w:r w:rsidR="00F072AC" w:rsidRPr="00915F7F">
        <w:rPr>
          <w:rFonts w:ascii="Palatino Linotype" w:hAnsi="Palatino Linotype" w:cs="Arial"/>
          <w:sz w:val="24"/>
          <w:szCs w:val="24"/>
        </w:rPr>
        <w:t>ocho</w:t>
      </w:r>
      <w:r w:rsidR="00625340" w:rsidRPr="00915F7F">
        <w:rPr>
          <w:rFonts w:ascii="Palatino Linotype" w:hAnsi="Palatino Linotype" w:cs="Arial"/>
          <w:sz w:val="24"/>
          <w:szCs w:val="24"/>
        </w:rPr>
        <w:t xml:space="preserve">, en el </w:t>
      </w:r>
      <w:r w:rsidR="00625340" w:rsidRPr="00915F7F">
        <w:rPr>
          <w:rFonts w:ascii="Palatino Linotype" w:hAnsi="Palatino Linotype" w:cs="Arial"/>
          <w:sz w:val="24"/>
          <w:szCs w:val="24"/>
        </w:rPr>
        <w:lastRenderedPageBreak/>
        <w:t xml:space="preserve">recurso de revisión promovido por </w:t>
      </w:r>
      <w:r w:rsidR="00625340" w:rsidRPr="00915F7F">
        <w:rPr>
          <w:rFonts w:ascii="Palatino Linotype" w:eastAsia="Times New Roman" w:hAnsi="Palatino Linotype" w:cs="Times New Roman"/>
          <w:b/>
          <w:sz w:val="24"/>
          <w:szCs w:val="24"/>
          <w:lang w:eastAsia="es-ES"/>
        </w:rPr>
        <w:t xml:space="preserve"> </w:t>
      </w:r>
      <w:r w:rsidR="009F3B61" w:rsidRPr="008228EE">
        <w:rPr>
          <w:rFonts w:ascii="Palatino Linotype" w:hAnsi="Palatino Linotype"/>
          <w:b/>
          <w:sz w:val="24"/>
          <w:szCs w:val="24"/>
          <w:highlight w:val="black"/>
          <w:lang w:val="es-ES_tradnl"/>
        </w:rPr>
        <w:t>-------------------------------</w:t>
      </w:r>
      <w:r w:rsidR="00625340" w:rsidRPr="00915F7F">
        <w:rPr>
          <w:rFonts w:ascii="Palatino Linotype" w:hAnsi="Palatino Linotype" w:cs="Arial"/>
          <w:sz w:val="24"/>
          <w:szCs w:val="24"/>
        </w:rPr>
        <w:t xml:space="preserve"> en contra de la respuesta </w:t>
      </w:r>
      <w:r w:rsidR="00B02F56" w:rsidRPr="00915F7F">
        <w:rPr>
          <w:rFonts w:ascii="Palatino Linotype" w:hAnsi="Palatino Linotype" w:cs="Arial"/>
          <w:sz w:val="24"/>
          <w:szCs w:val="24"/>
        </w:rPr>
        <w:t>de</w:t>
      </w:r>
      <w:r w:rsidR="00465D03" w:rsidRPr="00915F7F">
        <w:rPr>
          <w:rFonts w:ascii="Palatino Linotype" w:hAnsi="Palatino Linotype" w:cs="Arial"/>
          <w:sz w:val="24"/>
          <w:szCs w:val="24"/>
        </w:rPr>
        <w:t>l</w:t>
      </w:r>
      <w:r w:rsidR="00F74AB6" w:rsidRPr="00915F7F">
        <w:rPr>
          <w:rFonts w:ascii="Palatino Linotype" w:hAnsi="Palatino Linotype" w:cs="Arial"/>
          <w:sz w:val="24"/>
          <w:szCs w:val="24"/>
        </w:rPr>
        <w:t xml:space="preserve"> </w:t>
      </w:r>
      <w:r w:rsidR="00F072AC" w:rsidRPr="00915F7F">
        <w:rPr>
          <w:rFonts w:ascii="Palatino Linotype" w:hAnsi="Palatino Linotype" w:cs="Arial"/>
          <w:b/>
          <w:sz w:val="24"/>
          <w:szCs w:val="24"/>
        </w:rPr>
        <w:t>Sistema Municipal para el Desarrollo Integral de la Familia de Valle de Chalco Solidaridad</w:t>
      </w:r>
      <w:r w:rsidR="00625340" w:rsidRPr="00915F7F">
        <w:rPr>
          <w:rFonts w:ascii="Palatino Linotype" w:hAnsi="Palatino Linotype" w:cs="Arial"/>
          <w:sz w:val="24"/>
          <w:szCs w:val="24"/>
        </w:rPr>
        <w:t xml:space="preserve">, procedimiento al que se le asignó el número de expediente </w:t>
      </w:r>
      <w:r w:rsidR="00625340" w:rsidRPr="00915F7F">
        <w:rPr>
          <w:rFonts w:ascii="Palatino Linotype" w:hAnsi="Palatino Linotype" w:cs="Arial"/>
          <w:b/>
          <w:bCs/>
          <w:sz w:val="24"/>
          <w:szCs w:val="24"/>
        </w:rPr>
        <w:t>0</w:t>
      </w:r>
      <w:r w:rsidR="00F072AC" w:rsidRPr="00915F7F">
        <w:rPr>
          <w:rFonts w:ascii="Palatino Linotype" w:hAnsi="Palatino Linotype" w:cs="Arial"/>
          <w:b/>
          <w:bCs/>
          <w:sz w:val="24"/>
          <w:szCs w:val="24"/>
        </w:rPr>
        <w:t>3547</w:t>
      </w:r>
      <w:r w:rsidR="00625340" w:rsidRPr="00915F7F">
        <w:rPr>
          <w:rFonts w:ascii="Palatino Linotype" w:hAnsi="Palatino Linotype" w:cs="Arial"/>
          <w:b/>
          <w:bCs/>
          <w:sz w:val="24"/>
          <w:szCs w:val="24"/>
        </w:rPr>
        <w:t>/INFOEM/IP/RR/201</w:t>
      </w:r>
      <w:r w:rsidR="00F072AC" w:rsidRPr="00915F7F">
        <w:rPr>
          <w:rFonts w:ascii="Palatino Linotype" w:hAnsi="Palatino Linotype" w:cs="Arial"/>
          <w:b/>
          <w:bCs/>
          <w:sz w:val="24"/>
          <w:szCs w:val="24"/>
        </w:rPr>
        <w:t>8</w:t>
      </w:r>
      <w:r w:rsidR="00625340" w:rsidRPr="00915F7F">
        <w:rPr>
          <w:rFonts w:ascii="Palatino Linotype" w:hAnsi="Palatino Linotype" w:cs="Arial"/>
          <w:b/>
          <w:sz w:val="24"/>
          <w:szCs w:val="24"/>
        </w:rPr>
        <w:t>.</w:t>
      </w:r>
      <w:bookmarkStart w:id="1" w:name="_GoBack"/>
      <w:bookmarkEnd w:id="1"/>
    </w:p>
    <w:p w:rsidR="00625340" w:rsidRPr="00915F7F" w:rsidRDefault="00625340" w:rsidP="00625340">
      <w:pPr>
        <w:pStyle w:val="Prrafodelista"/>
        <w:spacing w:after="0" w:line="360" w:lineRule="auto"/>
        <w:ind w:left="0"/>
        <w:jc w:val="both"/>
        <w:rPr>
          <w:rFonts w:ascii="Palatino Linotype" w:hAnsi="Palatino Linotype" w:cs="Arial"/>
          <w:b/>
          <w:sz w:val="24"/>
          <w:szCs w:val="24"/>
        </w:rPr>
      </w:pPr>
    </w:p>
    <w:p w:rsidR="003C7564" w:rsidRPr="00915F7F" w:rsidRDefault="00F72C33" w:rsidP="003C7564">
      <w:pPr>
        <w:pStyle w:val="Prrafodelista"/>
        <w:numPr>
          <w:ilvl w:val="0"/>
          <w:numId w:val="11"/>
        </w:numPr>
        <w:spacing w:after="0" w:line="360" w:lineRule="auto"/>
        <w:ind w:left="0"/>
        <w:jc w:val="both"/>
        <w:rPr>
          <w:rFonts w:ascii="Palatino Linotype" w:hAnsi="Palatino Linotype" w:cs="Arial"/>
          <w:b/>
          <w:sz w:val="24"/>
          <w:szCs w:val="24"/>
        </w:rPr>
      </w:pPr>
      <w:r w:rsidRPr="00915F7F">
        <w:rPr>
          <w:rFonts w:ascii="Palatino Linotype" w:hAnsi="Palatino Linotype" w:cs="Arial"/>
          <w:sz w:val="24"/>
          <w:szCs w:val="24"/>
        </w:rPr>
        <w:t xml:space="preserve">La resolución determina </w:t>
      </w:r>
      <w:r w:rsidR="00F072AC" w:rsidRPr="00915F7F">
        <w:rPr>
          <w:rFonts w:ascii="Palatino Linotype" w:hAnsi="Palatino Linotype" w:cs="Arial"/>
          <w:sz w:val="24"/>
          <w:szCs w:val="24"/>
        </w:rPr>
        <w:t xml:space="preserve">sobreseer el recurso de revisión </w:t>
      </w:r>
      <w:r w:rsidR="00F072AC" w:rsidRPr="00915F7F">
        <w:rPr>
          <w:rFonts w:ascii="Palatino Linotype" w:hAnsi="Palatino Linotype" w:cs="Arial"/>
          <w:b/>
          <w:sz w:val="24"/>
          <w:szCs w:val="24"/>
        </w:rPr>
        <w:t xml:space="preserve">por quedarse sin materia, </w:t>
      </w:r>
      <w:r w:rsidR="00F072AC" w:rsidRPr="00915F7F">
        <w:rPr>
          <w:rFonts w:ascii="Palatino Linotype" w:hAnsi="Palatino Linotype" w:cs="Arial"/>
          <w:sz w:val="24"/>
          <w:szCs w:val="24"/>
        </w:rPr>
        <w:t xml:space="preserve">por lo tanto estese a lo dispuesto en el diverso </w:t>
      </w:r>
      <w:r w:rsidR="00A57446" w:rsidRPr="00915F7F">
        <w:rPr>
          <w:rFonts w:ascii="Palatino Linotype" w:hAnsi="Palatino Linotype" w:cs="Arial"/>
          <w:b/>
          <w:sz w:val="24"/>
          <w:szCs w:val="24"/>
        </w:rPr>
        <w:t>01706/INFOEM/IP/RR/2018</w:t>
      </w:r>
      <w:r w:rsidR="00A57446" w:rsidRPr="00915F7F">
        <w:rPr>
          <w:rFonts w:ascii="Palatino Linotype" w:hAnsi="Palatino Linotype" w:cs="Arial"/>
          <w:sz w:val="24"/>
          <w:szCs w:val="24"/>
        </w:rPr>
        <w:t xml:space="preserve">.                                                                                                                                                                                                                                                                                           </w:t>
      </w:r>
    </w:p>
    <w:p w:rsidR="00113A96" w:rsidRPr="00915F7F" w:rsidRDefault="00113A96" w:rsidP="00113A96">
      <w:pPr>
        <w:pStyle w:val="Prrafodelista"/>
        <w:rPr>
          <w:rFonts w:ascii="Palatino Linotype" w:hAnsi="Palatino Linotype" w:cs="Arial"/>
          <w:b/>
          <w:sz w:val="24"/>
          <w:szCs w:val="24"/>
        </w:rPr>
      </w:pPr>
    </w:p>
    <w:p w:rsidR="00A143D1" w:rsidRPr="00915F7F" w:rsidRDefault="00703F02" w:rsidP="008A64A2">
      <w:pPr>
        <w:pStyle w:val="Prrafodelista"/>
        <w:numPr>
          <w:ilvl w:val="0"/>
          <w:numId w:val="11"/>
        </w:numPr>
        <w:spacing w:before="240" w:after="240" w:line="360" w:lineRule="auto"/>
        <w:ind w:left="0"/>
        <w:jc w:val="both"/>
        <w:rPr>
          <w:rFonts w:ascii="Palatino Linotype" w:hAnsi="Palatino Linotype" w:cs="Arial"/>
          <w:sz w:val="24"/>
          <w:szCs w:val="24"/>
        </w:rPr>
      </w:pPr>
      <w:r w:rsidRPr="00915F7F">
        <w:rPr>
          <w:rFonts w:ascii="Palatino Linotype" w:hAnsi="Palatino Linotype" w:cs="Arial"/>
          <w:sz w:val="24"/>
          <w:szCs w:val="24"/>
        </w:rPr>
        <w:t xml:space="preserve">Mi </w:t>
      </w:r>
      <w:r w:rsidR="00AF2C7B" w:rsidRPr="00915F7F">
        <w:rPr>
          <w:rFonts w:ascii="Palatino Linotype" w:hAnsi="Palatino Linotype" w:cs="Arial"/>
          <w:sz w:val="24"/>
          <w:szCs w:val="24"/>
        </w:rPr>
        <w:t>v</w:t>
      </w:r>
      <w:r w:rsidR="00C02AF0" w:rsidRPr="00915F7F">
        <w:rPr>
          <w:rFonts w:ascii="Palatino Linotype" w:hAnsi="Palatino Linotype" w:cs="Arial"/>
          <w:sz w:val="24"/>
          <w:szCs w:val="24"/>
        </w:rPr>
        <w:t>oto</w:t>
      </w:r>
      <w:r w:rsidR="00625340" w:rsidRPr="00915F7F">
        <w:rPr>
          <w:rFonts w:ascii="Palatino Linotype" w:hAnsi="Palatino Linotype" w:cs="Arial"/>
          <w:sz w:val="24"/>
          <w:szCs w:val="24"/>
        </w:rPr>
        <w:t xml:space="preserve"> particular se deriva </w:t>
      </w:r>
      <w:r w:rsidR="00A57446" w:rsidRPr="00915F7F">
        <w:rPr>
          <w:rFonts w:ascii="Palatino Linotype" w:hAnsi="Palatino Linotype" w:cs="Arial"/>
          <w:sz w:val="24"/>
          <w:szCs w:val="24"/>
        </w:rPr>
        <w:t>de que en el desarrollo de la resolución se hizo referencia en la fracción I del artículo 195 y a la fracción III del artículo 196 del Código de Procedimientos Administrativos del Estado de México, que</w:t>
      </w:r>
      <w:r w:rsidR="00AF2C7B" w:rsidRPr="00915F7F">
        <w:rPr>
          <w:rFonts w:ascii="Palatino Linotype" w:hAnsi="Palatino Linotype" w:cs="Arial"/>
          <w:sz w:val="24"/>
          <w:szCs w:val="24"/>
        </w:rPr>
        <w:t xml:space="preserve"> por lado</w:t>
      </w:r>
      <w:r w:rsidR="00A57446" w:rsidRPr="00915F7F">
        <w:rPr>
          <w:rFonts w:ascii="Palatino Linotype" w:hAnsi="Palatino Linotype" w:cs="Arial"/>
          <w:sz w:val="24"/>
          <w:szCs w:val="24"/>
        </w:rPr>
        <w:t xml:space="preserve"> establecen que el recurso de revisión </w:t>
      </w:r>
      <w:r w:rsidR="00A57446" w:rsidRPr="00915F7F">
        <w:rPr>
          <w:rFonts w:ascii="Palatino Linotype" w:hAnsi="Palatino Linotype" w:cs="Arial"/>
          <w:sz w:val="24"/>
          <w:szCs w:val="24"/>
          <w:u w:val="single"/>
        </w:rPr>
        <w:t>es improcedente</w:t>
      </w:r>
      <w:r w:rsidR="00A57446" w:rsidRPr="00915F7F">
        <w:rPr>
          <w:rFonts w:ascii="Palatino Linotype" w:hAnsi="Palatino Linotype" w:cs="Arial"/>
          <w:sz w:val="24"/>
          <w:szCs w:val="24"/>
        </w:rPr>
        <w:t xml:space="preserve"> contra actos que hayan sido impugnados en un anterior recurso administrativo, siempre que exista resolución ejecutoria</w:t>
      </w:r>
      <w:r w:rsidR="00AF2C7B" w:rsidRPr="00915F7F">
        <w:rPr>
          <w:rFonts w:ascii="Palatino Linotype" w:hAnsi="Palatino Linotype" w:cs="Arial"/>
          <w:sz w:val="24"/>
          <w:szCs w:val="24"/>
        </w:rPr>
        <w:t xml:space="preserve"> que decida el asunto planteado, y por el otro que el recurso de revisión será sobreseído cuanto apareciera alguna causal de improcedencia, no obstante, la ponencia </w:t>
      </w:r>
      <w:proofErr w:type="spellStart"/>
      <w:r w:rsidR="00AF2C7B" w:rsidRPr="00915F7F">
        <w:rPr>
          <w:rFonts w:ascii="Palatino Linotype" w:hAnsi="Palatino Linotype" w:cs="Arial"/>
          <w:sz w:val="24"/>
          <w:szCs w:val="24"/>
        </w:rPr>
        <w:t>resolutora</w:t>
      </w:r>
      <w:proofErr w:type="spellEnd"/>
      <w:r w:rsidR="00AF2C7B" w:rsidRPr="00915F7F">
        <w:rPr>
          <w:rFonts w:ascii="Palatino Linotype" w:hAnsi="Palatino Linotype" w:cs="Arial"/>
          <w:sz w:val="24"/>
          <w:szCs w:val="24"/>
        </w:rPr>
        <w:t xml:space="preserve"> sobreseyó el presente recurso de revisión por quedarse sin materia.  </w:t>
      </w:r>
    </w:p>
    <w:p w:rsidR="00A143D1" w:rsidRPr="00915F7F" w:rsidRDefault="00A143D1" w:rsidP="0036287F">
      <w:pPr>
        <w:pStyle w:val="Prrafodelista"/>
        <w:spacing w:before="240" w:after="240" w:line="360" w:lineRule="auto"/>
        <w:ind w:left="0"/>
        <w:jc w:val="both"/>
        <w:rPr>
          <w:rFonts w:ascii="Palatino Linotype" w:hAnsi="Palatino Linotype" w:cs="Arial"/>
          <w:sz w:val="24"/>
          <w:szCs w:val="24"/>
        </w:rPr>
      </w:pPr>
    </w:p>
    <w:p w:rsidR="00625340" w:rsidRPr="00915F7F"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915F7F">
        <w:rPr>
          <w:rFonts w:ascii="Palatino Linotype" w:hAnsi="Palatino Linotype" w:cs="Arial"/>
          <w:sz w:val="24"/>
          <w:szCs w:val="24"/>
        </w:rPr>
        <w:t>Por tal motivo y e</w:t>
      </w:r>
      <w:r w:rsidR="006F18A4" w:rsidRPr="00915F7F">
        <w:rPr>
          <w:rFonts w:ascii="Palatino Linotype" w:hAnsi="Palatino Linotype" w:cs="Arial"/>
          <w:sz w:val="24"/>
          <w:szCs w:val="24"/>
        </w:rPr>
        <w:t>n términos de lo señalado por el</w:t>
      </w:r>
      <w:r w:rsidRPr="00915F7F">
        <w:rPr>
          <w:rFonts w:ascii="Palatino Linotype" w:hAnsi="Palatino Linotype" w:cs="Arial"/>
          <w:sz w:val="24"/>
          <w:szCs w:val="24"/>
        </w:rPr>
        <w:t xml:space="preserve"> artículo </w:t>
      </w:r>
      <w:r w:rsidR="006F18A4" w:rsidRPr="00915F7F">
        <w:rPr>
          <w:rFonts w:ascii="Palatino Linotype" w:hAnsi="Palatino Linotype" w:cs="Arial"/>
          <w:sz w:val="24"/>
          <w:szCs w:val="24"/>
        </w:rPr>
        <w:t>14</w:t>
      </w:r>
      <w:r w:rsidRPr="00915F7F">
        <w:rPr>
          <w:rFonts w:ascii="Palatino Linotype" w:hAnsi="Palatino Linotype" w:cs="Arial"/>
          <w:sz w:val="24"/>
          <w:szCs w:val="24"/>
        </w:rPr>
        <w:t xml:space="preserve"> fracción X</w:t>
      </w:r>
      <w:r w:rsidR="00F313D4" w:rsidRPr="00915F7F">
        <w:rPr>
          <w:rFonts w:ascii="Palatino Linotype" w:hAnsi="Palatino Linotype" w:cs="Arial"/>
          <w:sz w:val="24"/>
          <w:szCs w:val="24"/>
        </w:rPr>
        <w:t>I</w:t>
      </w:r>
      <w:r w:rsidRPr="00915F7F">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915F7F">
        <w:rPr>
          <w:rFonts w:ascii="Palatino Linotype" w:hAnsi="Palatino Linotype" w:cs="Arial"/>
          <w:sz w:val="24"/>
          <w:szCs w:val="24"/>
        </w:rPr>
        <w:t xml:space="preserve"> </w:t>
      </w:r>
      <w:r w:rsidR="00C02AF0" w:rsidRPr="00915F7F">
        <w:rPr>
          <w:rFonts w:ascii="Palatino Linotype" w:hAnsi="Palatino Linotype" w:cs="Arial"/>
          <w:sz w:val="24"/>
          <w:szCs w:val="24"/>
        </w:rPr>
        <w:t>voto</w:t>
      </w:r>
      <w:r w:rsidRPr="00915F7F">
        <w:rPr>
          <w:rFonts w:ascii="Palatino Linotype" w:hAnsi="Palatino Linotype" w:cs="Arial"/>
          <w:sz w:val="24"/>
          <w:szCs w:val="24"/>
        </w:rPr>
        <w:t xml:space="preserve"> particular. </w:t>
      </w:r>
    </w:p>
    <w:p w:rsidR="0071438F" w:rsidRPr="00915F7F" w:rsidRDefault="0071438F" w:rsidP="0071438F">
      <w:pPr>
        <w:pStyle w:val="Prrafodelista"/>
        <w:rPr>
          <w:rFonts w:ascii="Palatino Linotype" w:hAnsi="Palatino Linotype" w:cs="Arial"/>
          <w:sz w:val="24"/>
          <w:szCs w:val="24"/>
        </w:rPr>
      </w:pPr>
    </w:p>
    <w:p w:rsidR="00625340" w:rsidRPr="00915F7F" w:rsidRDefault="00A55FE3" w:rsidP="00625340">
      <w:pPr>
        <w:pStyle w:val="Ttulo1"/>
        <w:rPr>
          <w:szCs w:val="24"/>
        </w:rPr>
      </w:pPr>
      <w:bookmarkStart w:id="2" w:name="_Toc531012797"/>
      <w:r>
        <w:rPr>
          <w:szCs w:val="24"/>
        </w:rPr>
        <w:lastRenderedPageBreak/>
        <w:t xml:space="preserve">II. </w:t>
      </w:r>
      <w:r w:rsidR="0018271F" w:rsidRPr="00915F7F">
        <w:rPr>
          <w:szCs w:val="24"/>
        </w:rPr>
        <w:t>De la información solicitada</w:t>
      </w:r>
      <w:r w:rsidR="00113A96" w:rsidRPr="00915F7F">
        <w:rPr>
          <w:szCs w:val="24"/>
        </w:rPr>
        <w:t xml:space="preserve">. </w:t>
      </w:r>
      <w:r w:rsidR="00625340" w:rsidRPr="00915F7F">
        <w:rPr>
          <w:szCs w:val="24"/>
        </w:rPr>
        <w:t>.</w:t>
      </w:r>
      <w:bookmarkEnd w:id="2"/>
    </w:p>
    <w:p w:rsidR="00625340" w:rsidRPr="00915F7F" w:rsidRDefault="00625340" w:rsidP="00625340">
      <w:pPr>
        <w:pStyle w:val="Prrafodelista"/>
        <w:spacing w:after="0" w:line="360" w:lineRule="auto"/>
        <w:ind w:left="1080"/>
        <w:jc w:val="both"/>
        <w:rPr>
          <w:rFonts w:ascii="Palatino Linotype" w:hAnsi="Palatino Linotype" w:cs="Arial"/>
          <w:b/>
          <w:sz w:val="24"/>
          <w:szCs w:val="24"/>
        </w:rPr>
      </w:pPr>
    </w:p>
    <w:p w:rsidR="0018271F" w:rsidRPr="00915F7F" w:rsidRDefault="00AF2C7B" w:rsidP="0018271F">
      <w:pPr>
        <w:pStyle w:val="Prrafodelista"/>
        <w:numPr>
          <w:ilvl w:val="0"/>
          <w:numId w:val="11"/>
        </w:numPr>
        <w:spacing w:before="240" w:after="240" w:line="360" w:lineRule="auto"/>
        <w:ind w:left="0"/>
        <w:jc w:val="both"/>
        <w:rPr>
          <w:rFonts w:ascii="Palatino Linotype" w:hAnsi="Palatino Linotype"/>
          <w:i/>
          <w:sz w:val="24"/>
          <w:szCs w:val="24"/>
        </w:rPr>
      </w:pPr>
      <w:r w:rsidRPr="00915F7F">
        <w:rPr>
          <w:rFonts w:ascii="Palatino Linotype" w:hAnsi="Palatino Linotype"/>
          <w:sz w:val="24"/>
          <w:szCs w:val="24"/>
        </w:rPr>
        <w:t xml:space="preserve">El particular requirió del Sujeto Obligado los recibos de nómina de enero a diciembre de 2017 así como los recibos de aguinaldo del mismo ejercicio fiscal de todos los servidores públicos que laboraron en las diversas áreas el Sistema Municipal para el Desarrollo Integral a la Familia </w:t>
      </w:r>
      <w:r w:rsidR="00A12892" w:rsidRPr="00915F7F">
        <w:rPr>
          <w:rFonts w:ascii="Palatino Linotype" w:hAnsi="Palatino Linotype"/>
          <w:sz w:val="24"/>
          <w:szCs w:val="24"/>
        </w:rPr>
        <w:t>de Valle de Chalco Solidaridad, y agregó que “</w:t>
      </w:r>
      <w:r w:rsidR="00A12892" w:rsidRPr="00915F7F">
        <w:rPr>
          <w:rFonts w:ascii="Palatino Linotype" w:hAnsi="Palatino Linotype"/>
          <w:i/>
          <w:color w:val="000000"/>
          <w:sz w:val="24"/>
          <w:szCs w:val="24"/>
        </w:rPr>
        <w:t xml:space="preserve">en la respuesta a la solicitud </w:t>
      </w:r>
      <w:r w:rsidR="00A12892" w:rsidRPr="00915F7F">
        <w:rPr>
          <w:rFonts w:ascii="Palatino Linotype" w:hAnsi="Palatino Linotype"/>
          <w:b/>
          <w:i/>
          <w:color w:val="000000"/>
          <w:sz w:val="24"/>
          <w:szCs w:val="24"/>
          <w:u w:val="single"/>
        </w:rPr>
        <w:t>00004/DIFVACHASO/IP/2018 no se atiende todo lo requerido</w:t>
      </w:r>
      <w:r w:rsidR="00A12892" w:rsidRPr="00915F7F">
        <w:rPr>
          <w:rFonts w:ascii="Palatino Linotype" w:hAnsi="Palatino Linotype"/>
          <w:i/>
          <w:color w:val="000000"/>
          <w:sz w:val="24"/>
          <w:szCs w:val="24"/>
        </w:rPr>
        <w:t xml:space="preserve"> y además se testa información que es pública tal es el caso de todas las percepciones, no sólo el salario es público</w:t>
      </w:r>
      <w:r w:rsidR="00A12892" w:rsidRPr="00915F7F">
        <w:rPr>
          <w:rFonts w:ascii="Palatino Linotype" w:hAnsi="Palatino Linotype"/>
          <w:color w:val="000000"/>
          <w:sz w:val="24"/>
          <w:szCs w:val="24"/>
        </w:rPr>
        <w:t xml:space="preserve">…” </w:t>
      </w:r>
    </w:p>
    <w:p w:rsidR="00000EE3" w:rsidRPr="00915F7F" w:rsidRDefault="00000EE3" w:rsidP="0018271F">
      <w:pPr>
        <w:pStyle w:val="Prrafodelista"/>
        <w:spacing w:before="240" w:after="240" w:line="360" w:lineRule="auto"/>
        <w:ind w:left="0"/>
        <w:jc w:val="both"/>
        <w:rPr>
          <w:rFonts w:ascii="Palatino Linotype" w:hAnsi="Palatino Linotype"/>
          <w:i/>
          <w:sz w:val="24"/>
          <w:szCs w:val="24"/>
        </w:rPr>
      </w:pPr>
    </w:p>
    <w:p w:rsidR="00A12892" w:rsidRPr="00915F7F" w:rsidRDefault="00A12892" w:rsidP="000C289F">
      <w:pPr>
        <w:pStyle w:val="Prrafodelista"/>
        <w:numPr>
          <w:ilvl w:val="0"/>
          <w:numId w:val="11"/>
        </w:numPr>
        <w:spacing w:before="240" w:after="240" w:line="360" w:lineRule="auto"/>
        <w:ind w:left="0"/>
        <w:jc w:val="both"/>
        <w:rPr>
          <w:rFonts w:ascii="Palatino Linotype" w:hAnsi="Palatino Linotype" w:cs="Arial"/>
          <w:i/>
          <w:color w:val="000000" w:themeColor="text1"/>
          <w:sz w:val="24"/>
          <w:szCs w:val="24"/>
        </w:rPr>
      </w:pPr>
      <w:r w:rsidRPr="00915F7F">
        <w:rPr>
          <w:rFonts w:ascii="Palatino Linotype" w:hAnsi="Palatino Linotype" w:cs="Arial"/>
          <w:color w:val="000000" w:themeColor="text1"/>
          <w:sz w:val="24"/>
          <w:szCs w:val="24"/>
        </w:rPr>
        <w:t xml:space="preserve">Solicitud que fue impugnada en el recurso de revisión </w:t>
      </w:r>
      <w:r w:rsidRPr="00915F7F">
        <w:rPr>
          <w:rFonts w:ascii="Palatino Linotype" w:hAnsi="Palatino Linotype"/>
          <w:b/>
          <w:sz w:val="24"/>
          <w:szCs w:val="24"/>
        </w:rPr>
        <w:t xml:space="preserve">01706/INFOEM/IP/RR/2018, </w:t>
      </w:r>
      <w:r w:rsidRPr="00915F7F">
        <w:rPr>
          <w:rFonts w:ascii="Palatino Linotype" w:hAnsi="Palatino Linotype"/>
          <w:sz w:val="24"/>
          <w:szCs w:val="24"/>
        </w:rPr>
        <w:t xml:space="preserve">el cual fue resuelto por el Pleno de este instituto en la Vigésima Cuarta Sesión Ordinaria celebraba el veintisiete (27) de junio de dos mil dieciocho. </w:t>
      </w:r>
    </w:p>
    <w:p w:rsidR="00810E9A" w:rsidRPr="00915F7F" w:rsidRDefault="00810E9A" w:rsidP="00810E9A">
      <w:pPr>
        <w:pStyle w:val="Prrafodelista"/>
        <w:rPr>
          <w:rFonts w:ascii="Palatino Linotype" w:hAnsi="Palatino Linotype" w:cs="Arial"/>
          <w:i/>
          <w:color w:val="000000" w:themeColor="text1"/>
          <w:sz w:val="24"/>
          <w:szCs w:val="24"/>
        </w:rPr>
      </w:pPr>
    </w:p>
    <w:p w:rsidR="00810E9A" w:rsidRPr="00915F7F" w:rsidRDefault="00810E9A" w:rsidP="000C289F">
      <w:pPr>
        <w:pStyle w:val="Prrafodelista"/>
        <w:numPr>
          <w:ilvl w:val="0"/>
          <w:numId w:val="11"/>
        </w:numPr>
        <w:spacing w:before="240" w:after="240" w:line="360" w:lineRule="auto"/>
        <w:ind w:left="0"/>
        <w:jc w:val="both"/>
        <w:rPr>
          <w:rFonts w:ascii="Palatino Linotype" w:hAnsi="Palatino Linotype" w:cs="Arial"/>
          <w:i/>
          <w:color w:val="000000" w:themeColor="text1"/>
          <w:sz w:val="24"/>
          <w:szCs w:val="24"/>
        </w:rPr>
      </w:pPr>
      <w:r w:rsidRPr="00915F7F">
        <w:rPr>
          <w:rFonts w:ascii="Palatino Linotype" w:hAnsi="Palatino Linotype" w:cs="Arial"/>
          <w:color w:val="000000" w:themeColor="text1"/>
          <w:sz w:val="24"/>
          <w:szCs w:val="24"/>
        </w:rPr>
        <w:t xml:space="preserve">Razón por la que se determinó que el recurso de revisión actualiza las hipótesis jurídicas previstas en los artículo 195, fracción I y 196, fracción II del Código de Procedimientos Administrativos del Estado de México, de aplicación supletoria, en términos del artículo 195 de la Ley de </w:t>
      </w:r>
      <w:r w:rsidRPr="00915F7F">
        <w:rPr>
          <w:rFonts w:ascii="Palatino Linotype" w:hAnsi="Palatino Linotype" w:cs="Arial"/>
          <w:sz w:val="24"/>
          <w:szCs w:val="24"/>
        </w:rPr>
        <w:t xml:space="preserve">Transparencia y Acceso a la Información Pública del Estado de México y Municipios. </w:t>
      </w:r>
    </w:p>
    <w:p w:rsidR="00FE7629" w:rsidRPr="00915F7F" w:rsidRDefault="00FE7629" w:rsidP="00FE7629">
      <w:pPr>
        <w:pStyle w:val="Prrafodelista"/>
        <w:rPr>
          <w:rFonts w:ascii="Palatino Linotype" w:hAnsi="Palatino Linotype" w:cs="Arial"/>
          <w:i/>
          <w:color w:val="000000" w:themeColor="text1"/>
          <w:sz w:val="24"/>
          <w:szCs w:val="24"/>
        </w:rPr>
      </w:pPr>
    </w:p>
    <w:p w:rsidR="00FE7629" w:rsidRPr="00915F7F" w:rsidRDefault="00FE7629" w:rsidP="00FE7629">
      <w:pPr>
        <w:pStyle w:val="Prrafodelista"/>
        <w:spacing w:before="240" w:after="240" w:line="360" w:lineRule="auto"/>
        <w:ind w:left="0"/>
        <w:jc w:val="both"/>
        <w:rPr>
          <w:rFonts w:ascii="Palatino Linotype" w:hAnsi="Palatino Linotype" w:cs="Arial"/>
          <w:i/>
          <w:color w:val="000000" w:themeColor="text1"/>
          <w:sz w:val="24"/>
          <w:szCs w:val="24"/>
        </w:rPr>
      </w:pPr>
    </w:p>
    <w:p w:rsidR="00F51F8F" w:rsidRPr="00915F7F" w:rsidRDefault="00F51F8F" w:rsidP="00F51F8F">
      <w:pPr>
        <w:pStyle w:val="Prrafodelista"/>
        <w:spacing w:before="240" w:after="240" w:line="360" w:lineRule="auto"/>
        <w:ind w:left="0"/>
        <w:jc w:val="both"/>
        <w:rPr>
          <w:rFonts w:ascii="Palatino Linotype" w:hAnsi="Palatino Linotype" w:cs="Arial"/>
          <w:i/>
          <w:color w:val="000000" w:themeColor="text1"/>
          <w:sz w:val="24"/>
          <w:szCs w:val="24"/>
        </w:rPr>
      </w:pPr>
    </w:p>
    <w:p w:rsidR="00915F7F" w:rsidRPr="00915F7F" w:rsidRDefault="00915F7F" w:rsidP="00F51F8F">
      <w:pPr>
        <w:pStyle w:val="Prrafodelista"/>
        <w:keepNext/>
        <w:keepLines/>
        <w:numPr>
          <w:ilvl w:val="0"/>
          <w:numId w:val="24"/>
        </w:numPr>
        <w:spacing w:before="40" w:after="0"/>
        <w:outlineLvl w:val="1"/>
        <w:rPr>
          <w:rFonts w:ascii="Palatino Linotype" w:eastAsiaTheme="majorEastAsia" w:hAnsi="Palatino Linotype" w:cs="Arial"/>
          <w:b/>
          <w:iCs/>
          <w:color w:val="000000" w:themeColor="text1"/>
          <w:sz w:val="24"/>
          <w:szCs w:val="24"/>
        </w:rPr>
      </w:pPr>
      <w:bookmarkStart w:id="3" w:name="_Toc531012798"/>
      <w:bookmarkStart w:id="4" w:name="_Toc491086692"/>
      <w:r w:rsidRPr="00915F7F">
        <w:rPr>
          <w:rFonts w:ascii="Palatino Linotype" w:eastAsia="Times New Roman" w:hAnsi="Palatino Linotype" w:cs="Arial"/>
          <w:b/>
          <w:color w:val="222222"/>
          <w:sz w:val="24"/>
          <w:szCs w:val="24"/>
          <w:lang w:val="es-ES" w:eastAsia="es-MX"/>
        </w:rPr>
        <w:lastRenderedPageBreak/>
        <w:t>De las resoluciones de este Órgano Garante</w:t>
      </w:r>
      <w:bookmarkEnd w:id="3"/>
    </w:p>
    <w:p w:rsidR="00915F7F" w:rsidRPr="00915F7F" w:rsidRDefault="00915F7F" w:rsidP="00915F7F">
      <w:pPr>
        <w:pStyle w:val="Prrafodelista"/>
        <w:keepNext/>
        <w:keepLines/>
        <w:spacing w:before="40" w:after="0"/>
        <w:ind w:left="1080"/>
        <w:outlineLvl w:val="1"/>
        <w:rPr>
          <w:rFonts w:ascii="Palatino Linotype" w:eastAsiaTheme="majorEastAsia" w:hAnsi="Palatino Linotype" w:cs="Arial"/>
          <w:b/>
          <w:iCs/>
          <w:color w:val="000000" w:themeColor="text1"/>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Times New Roman" w:hAnsi="Palatino Linotype" w:cs="Arial"/>
          <w:color w:val="222222"/>
          <w:sz w:val="24"/>
          <w:szCs w:val="24"/>
          <w:lang w:val="es-ES" w:eastAsia="es-MX"/>
        </w:rPr>
        <w:t>Resulta necesario señalar que todas y cada una de las resoluciones que son emitidas por el Órgano Colegiado del Instituto  de Transparencia, Acceso a la Información Pública y Protección de Datos Personales del Estado de México y Municipios surte todos sus efectos cuando en cumplimiento a la misma se entrega información accesible, actualizada, completa, congruente, confiable, verificable, veraz, integral, oportuna y expedita, tal y como lo establece el artículo 11 de la ley de la materia, es decir, cuando es reparado el derecho de la persona.</w:t>
      </w:r>
    </w:p>
    <w:p w:rsidR="00915F7F" w:rsidRPr="00915F7F" w:rsidRDefault="00915F7F" w:rsidP="00915F7F">
      <w:pPr>
        <w:pStyle w:val="Prrafodelista"/>
        <w:spacing w:before="240" w:after="240" w:line="360" w:lineRule="auto"/>
        <w:ind w:left="0"/>
        <w:jc w:val="both"/>
        <w:rPr>
          <w:rFonts w:ascii="Palatino Linotype" w:eastAsia="Times New Roman" w:hAnsi="Palatino Linotype" w:cs="Arial"/>
          <w:color w:val="222222"/>
          <w:sz w:val="24"/>
          <w:szCs w:val="24"/>
          <w:lang w:val="es-ES" w:eastAsia="es-MX"/>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Times New Roman" w:hAnsi="Palatino Linotype" w:cs="Arial"/>
          <w:color w:val="222222"/>
          <w:sz w:val="24"/>
          <w:szCs w:val="24"/>
          <w:lang w:val="es-ES" w:eastAsia="es-MX"/>
        </w:rPr>
        <w:t>En ese sentido, resultaría ocioso resolver cientos de veces respecto de la misma Litis, es decir, sobre el mismo conflicto, en donde coincidan las partes y ordenando exactamente lo mismo, toda vez que eso reflejaría la falta de efectividad que tiene este órgano garante para hacer cumplir sus resoluciones.</w:t>
      </w:r>
    </w:p>
    <w:p w:rsidR="00915F7F" w:rsidRPr="00915F7F" w:rsidRDefault="00915F7F" w:rsidP="00915F7F">
      <w:pPr>
        <w:pStyle w:val="Prrafodelista"/>
        <w:spacing w:line="360" w:lineRule="auto"/>
        <w:ind w:left="0"/>
        <w:jc w:val="both"/>
        <w:rPr>
          <w:rFonts w:ascii="Palatino Linotype" w:eastAsia="Times New Roman" w:hAnsi="Palatino Linotype" w:cs="Arial"/>
          <w:color w:val="222222"/>
          <w:sz w:val="24"/>
          <w:szCs w:val="24"/>
          <w:lang w:val="es-ES" w:eastAsia="es-MX"/>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Times New Roman" w:hAnsi="Palatino Linotype" w:cs="Arial"/>
          <w:color w:val="222222"/>
          <w:sz w:val="24"/>
          <w:szCs w:val="24"/>
          <w:lang w:val="es-ES" w:eastAsia="es-MX"/>
        </w:rPr>
        <w:t>Ahora bien, para asegurar la efectividad de los derechos no son suficientes las obligaciones y prohibiciones inmediatas a la autoridad y ante una eventual afectación al derecho humano, el Estado tiene la obligación de investigar, sancionar y reparar sus violaciones, según lo señalado en el párrafo tercero del propio artículo primero de la Constitución Federal.</w:t>
      </w:r>
    </w:p>
    <w:p w:rsidR="00915F7F" w:rsidRPr="00915F7F" w:rsidRDefault="00915F7F" w:rsidP="00915F7F">
      <w:pPr>
        <w:pStyle w:val="Prrafodelista"/>
        <w:rPr>
          <w:rFonts w:ascii="Palatino Linotype" w:eastAsia="Calibri"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 xml:space="preserve">Las disposiciones constitucionales y legales vigentes señalan que las resoluciones que éste Órgano Garante emite son </w:t>
      </w:r>
      <w:r w:rsidRPr="00915F7F">
        <w:rPr>
          <w:rFonts w:ascii="Palatino Linotype" w:eastAsia="Calibri" w:hAnsi="Palatino Linotype" w:cs="Arial"/>
          <w:i/>
          <w:sz w:val="24"/>
          <w:szCs w:val="24"/>
        </w:rPr>
        <w:t xml:space="preserve">vinculatorias, definitivas e inatacables para los </w:t>
      </w:r>
      <w:r w:rsidRPr="00915F7F">
        <w:rPr>
          <w:rFonts w:ascii="Palatino Linotype" w:eastAsia="Calibri" w:hAnsi="Palatino Linotype" w:cs="Arial"/>
          <w:i/>
          <w:sz w:val="24"/>
          <w:szCs w:val="24"/>
        </w:rPr>
        <w:lastRenderedPageBreak/>
        <w:t>Sujetos Obligados,</w:t>
      </w:r>
      <w:r w:rsidRPr="00915F7F">
        <w:rPr>
          <w:rFonts w:ascii="Palatino Linotype" w:eastAsia="Calibri" w:hAnsi="Palatino Linotype" w:cs="Arial"/>
          <w:sz w:val="24"/>
          <w:szCs w:val="24"/>
        </w:rPr>
        <w:t xml:space="preserve"> por lo tanto en aquellos casos en los que la resolución ha otorgado la razón al recurrente y ordena a la autoridad la entrega de la totalidad de información requerida y en la modalidad señalada por el particular, la autoridad no puede interponer recurso legal alguno para combatir nuestra resolución y la presentación de una demanda de juicio de amparo por parte del particular sería francamente frívola e improcedente, lo que le otorga a nuestra resolución la condición de resolución firme, definitiva, que ya no puede ser revisada por ninguna otra autoridad nacional, adquiriendo la condición de resolución emitida por órgano límite reconocido así por el régimen constitucional.</w:t>
      </w:r>
    </w:p>
    <w:p w:rsidR="00915F7F" w:rsidRPr="00915F7F" w:rsidRDefault="00915F7F" w:rsidP="00915F7F">
      <w:pPr>
        <w:pStyle w:val="Prrafodelista"/>
        <w:rPr>
          <w:rFonts w:ascii="Palatino Linotype" w:eastAsia="Calibri"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 xml:space="preserve">Diversos precedentes jurisdiccionales nos permiten identificar con mayor precisión en qué consiste esta condición de órgano constitucional límite, entre estas se encuentran la resolución de la Suprema Corte de Justicia de la Nación en el Amparo directo en revisión 1312/2014 que reconoce dicha condición al Consejo de la Judicatura Federal, cuyas determinaciones específicas no pueden ser revisadas por ninguna autoridad precisamente por esa cualidad de órgano límite al que me refiero. En ese mismo sentido se manifestó la ministra Olga Sánchez Cordero de García Villegas  en voto particular formulado a la misma resolución al precisar que dicha institución cuenta con la condición de </w:t>
      </w:r>
      <w:r w:rsidRPr="00915F7F">
        <w:rPr>
          <w:rFonts w:ascii="Palatino Linotype" w:eastAsia="Calibri" w:hAnsi="Palatino Linotype" w:cs="Arial"/>
          <w:i/>
          <w:sz w:val="24"/>
          <w:szCs w:val="24"/>
        </w:rPr>
        <w:t>“órgano límite”</w:t>
      </w:r>
      <w:r w:rsidRPr="00915F7F">
        <w:rPr>
          <w:rFonts w:ascii="Palatino Linotype" w:eastAsia="Calibri" w:hAnsi="Palatino Linotype" w:cs="Arial"/>
          <w:sz w:val="24"/>
          <w:szCs w:val="24"/>
        </w:rPr>
        <w:t xml:space="preserve"> y el Ministro Fernando Franco González Salas en voto particular formulado en el amparo en revisión 702/2012 al precisar que </w:t>
      </w:r>
      <w:r w:rsidRPr="00915F7F">
        <w:rPr>
          <w:rFonts w:ascii="Palatino Linotype" w:eastAsia="Calibri" w:hAnsi="Palatino Linotype" w:cs="Arial"/>
          <w:i/>
          <w:sz w:val="24"/>
          <w:szCs w:val="24"/>
        </w:rPr>
        <w:t xml:space="preserve">“esta sentencia debe considerarse como cosa juzgada, pues ya no procede ningún medio de defensa en su contra, y mucho menos contra la sentencia emitida por la </w:t>
      </w:r>
      <w:r w:rsidRPr="00915F7F">
        <w:rPr>
          <w:rFonts w:ascii="Palatino Linotype" w:eastAsia="Calibri" w:hAnsi="Palatino Linotype" w:cs="Arial"/>
          <w:i/>
          <w:sz w:val="24"/>
          <w:szCs w:val="24"/>
        </w:rPr>
        <w:lastRenderedPageBreak/>
        <w:t>Suprema Corte de Justicia de la Nación, como órgano límite, mediante la cual desechó el recurso de revisión contra la sentencia del mencionado Tribunal Colegiado de Circuito”.</w:t>
      </w:r>
    </w:p>
    <w:p w:rsidR="00915F7F" w:rsidRPr="00915F7F" w:rsidRDefault="00915F7F" w:rsidP="00915F7F">
      <w:pPr>
        <w:pStyle w:val="Prrafodelista"/>
        <w:spacing w:line="360" w:lineRule="auto"/>
        <w:ind w:left="0"/>
        <w:jc w:val="both"/>
        <w:rPr>
          <w:rFonts w:ascii="Palatino Linotype" w:eastAsia="Times New Roman" w:hAnsi="Palatino Linotype" w:cs="Arial"/>
          <w:color w:val="222222"/>
          <w:sz w:val="24"/>
          <w:szCs w:val="24"/>
          <w:lang w:val="es-ES" w:eastAsia="es-MX"/>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 xml:space="preserve">En una oportunidad diversa, el Ministro José Ramón Cossío Díaz ha identificado la naturaleza de los tribunales constitucionales como un punto de quiebre del modelo tradicional de división de poderes al encargar a </w:t>
      </w:r>
      <w:r w:rsidRPr="00915F7F">
        <w:rPr>
          <w:rFonts w:ascii="Palatino Linotype" w:eastAsia="Calibri" w:hAnsi="Palatino Linotype" w:cs="Arial"/>
          <w:i/>
          <w:sz w:val="24"/>
          <w:szCs w:val="24"/>
        </w:rPr>
        <w:t>“un órgano concebido para actuar técnicamente”</w:t>
      </w:r>
      <w:r w:rsidRPr="00915F7F">
        <w:rPr>
          <w:rFonts w:ascii="Palatino Linotype" w:eastAsia="Calibri" w:hAnsi="Palatino Linotype" w:cs="Arial"/>
          <w:sz w:val="24"/>
          <w:szCs w:val="24"/>
        </w:rPr>
        <w:t xml:space="preserve"> la posibilidad de ejercer controles más efectivos al ejercicio del poder público, otorgando a los mismos </w:t>
      </w:r>
      <w:r w:rsidRPr="00915F7F">
        <w:rPr>
          <w:rFonts w:ascii="Palatino Linotype" w:eastAsia="Calibri" w:hAnsi="Palatino Linotype" w:cs="Arial"/>
          <w:i/>
          <w:sz w:val="24"/>
          <w:szCs w:val="24"/>
        </w:rPr>
        <w:t>“el carácter de órgano límite de los tribunales constitucionales y las características propias de las normas constitucionales pusieron de manifiesto un hecho poco aceptado entre los juristas: la indeterminación del derecho”</w:t>
      </w:r>
      <w:r w:rsidRPr="00915F7F">
        <w:rPr>
          <w:rFonts w:ascii="Palatino Linotype" w:eastAsia="Calibri" w:hAnsi="Palatino Linotype" w:cs="Arial"/>
          <w:sz w:val="24"/>
          <w:szCs w:val="24"/>
        </w:rPr>
        <w:t>.</w:t>
      </w:r>
      <w:r w:rsidRPr="00915F7F">
        <w:rPr>
          <w:rFonts w:eastAsia="Calibri"/>
          <w:sz w:val="24"/>
          <w:szCs w:val="24"/>
          <w:vertAlign w:val="superscript"/>
        </w:rPr>
        <w:footnoteReference w:id="1"/>
      </w:r>
    </w:p>
    <w:p w:rsidR="00915F7F" w:rsidRPr="00915F7F" w:rsidRDefault="00915F7F" w:rsidP="00915F7F">
      <w:pPr>
        <w:pStyle w:val="Prrafodelista"/>
        <w:rPr>
          <w:rFonts w:ascii="Palatino Linotype" w:eastAsia="Calibri"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Si bien la condición de órgano límite se ha reconocido en las últimas instancias jurisdiccionales que tutelan los derechos humanos, es necesario señalar que las obligaciones internacionales que determinan que nuestro país cuente con un procedimiento sencillo, rápido</w:t>
      </w:r>
      <w:r w:rsidRPr="00915F7F">
        <w:rPr>
          <w:rFonts w:ascii="Palatino Linotype" w:eastAsia="Calibri" w:hAnsi="Palatino Linotype" w:cs="Arial"/>
          <w:sz w:val="24"/>
          <w:szCs w:val="24"/>
          <w:vertAlign w:val="superscript"/>
        </w:rPr>
        <w:t xml:space="preserve"> </w:t>
      </w:r>
      <w:r w:rsidRPr="00915F7F">
        <w:rPr>
          <w:rFonts w:ascii="Palatino Linotype" w:eastAsia="Calibri" w:hAnsi="Palatino Linotype" w:cs="Arial"/>
          <w:sz w:val="24"/>
          <w:szCs w:val="24"/>
        </w:rPr>
        <w:t>y  efectivo</w:t>
      </w:r>
      <w:r w:rsidRPr="00915F7F">
        <w:rPr>
          <w:rFonts w:ascii="Palatino Linotype" w:eastAsia="Calibri" w:hAnsi="Palatino Linotype" w:cs="Arial"/>
          <w:sz w:val="24"/>
          <w:szCs w:val="24"/>
          <w:vertAlign w:val="superscript"/>
        </w:rPr>
        <w:t xml:space="preserve"> </w:t>
      </w:r>
      <w:r w:rsidRPr="00915F7F">
        <w:rPr>
          <w:rFonts w:ascii="Palatino Linotype" w:eastAsia="Calibri" w:hAnsi="Palatino Linotype" w:cs="Arial"/>
          <w:sz w:val="24"/>
          <w:szCs w:val="24"/>
        </w:rPr>
        <w:t xml:space="preserve">para la protección del derecho de acceso a la información pública, ha implicado el diseño del recurso de revisión como una garantía secundaria, desahogada en sede de un órgano constitucionalmente autónomo, cuya fuerza en sus resoluciones deriva de su condición de </w:t>
      </w:r>
      <w:proofErr w:type="spellStart"/>
      <w:r w:rsidRPr="00915F7F">
        <w:rPr>
          <w:rFonts w:ascii="Palatino Linotype" w:eastAsia="Calibri" w:hAnsi="Palatino Linotype" w:cs="Arial"/>
          <w:sz w:val="24"/>
          <w:szCs w:val="24"/>
        </w:rPr>
        <w:t>definitividad</w:t>
      </w:r>
      <w:proofErr w:type="spellEnd"/>
      <w:r w:rsidRPr="00915F7F">
        <w:rPr>
          <w:rFonts w:ascii="Palatino Linotype" w:eastAsia="Calibri" w:hAnsi="Palatino Linotype" w:cs="Arial"/>
          <w:sz w:val="24"/>
          <w:szCs w:val="24"/>
        </w:rPr>
        <w:t xml:space="preserve">, desde el mismo momento en que es emitida  en todos aquellos casos en los que las pretensiones de la persona se colman ordenando al Sujeto Obligado la entrega de la información requerida en la modalidad planteada por el particular ya que la </w:t>
      </w:r>
      <w:r w:rsidRPr="00915F7F">
        <w:rPr>
          <w:rFonts w:ascii="Palatino Linotype" w:eastAsia="Calibri" w:hAnsi="Palatino Linotype" w:cs="Arial"/>
          <w:sz w:val="24"/>
          <w:szCs w:val="24"/>
        </w:rPr>
        <w:lastRenderedPageBreak/>
        <w:t xml:space="preserve">determinación no puede ser atacada por la autoridad y a nada práctico conduciría si fuera impugnada por el particular. En el resto de los casos, también adquiere la condición de resolución firme e inatacable, cuando fenece el plazo para que el particular presente el recurso de revisión ante el INAI o para la interposición del juicio de amparo. Por tales motivos reúne las condiciones de </w:t>
      </w:r>
      <w:proofErr w:type="spellStart"/>
      <w:r w:rsidRPr="00915F7F">
        <w:rPr>
          <w:rFonts w:ascii="Palatino Linotype" w:eastAsia="Calibri" w:hAnsi="Palatino Linotype" w:cs="Arial"/>
          <w:sz w:val="24"/>
          <w:szCs w:val="24"/>
        </w:rPr>
        <w:t>definitividad</w:t>
      </w:r>
      <w:proofErr w:type="spellEnd"/>
      <w:r w:rsidRPr="00915F7F">
        <w:rPr>
          <w:rFonts w:ascii="Palatino Linotype" w:eastAsia="Calibri" w:hAnsi="Palatino Linotype" w:cs="Arial"/>
          <w:sz w:val="24"/>
          <w:szCs w:val="24"/>
        </w:rPr>
        <w:t xml:space="preserve"> y firmeza que refuerza y proyecta a nivel federal nuestra condición de órgano límite reconocido en el régimen constitucional del país.</w:t>
      </w:r>
    </w:p>
    <w:p w:rsidR="00915F7F" w:rsidRPr="00915F7F" w:rsidRDefault="00915F7F" w:rsidP="00915F7F">
      <w:pPr>
        <w:pStyle w:val="Prrafodelista"/>
        <w:spacing w:line="360" w:lineRule="auto"/>
        <w:ind w:left="0"/>
        <w:jc w:val="both"/>
        <w:rPr>
          <w:rFonts w:ascii="Palatino Linotype" w:eastAsia="Times New Roman" w:hAnsi="Palatino Linotype" w:cs="Arial"/>
          <w:color w:val="222222"/>
          <w:sz w:val="24"/>
          <w:szCs w:val="24"/>
          <w:lang w:val="es-ES" w:eastAsia="es-MX"/>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 xml:space="preserve">La irrupción del control de constitucionalidad en órganos distintos de la fisonomía judicial, fue ya advertido por Néstor Pedro </w:t>
      </w:r>
      <w:proofErr w:type="spellStart"/>
      <w:r w:rsidRPr="00915F7F">
        <w:rPr>
          <w:rFonts w:ascii="Palatino Linotype" w:eastAsia="Calibri" w:hAnsi="Palatino Linotype" w:cs="Arial"/>
          <w:sz w:val="24"/>
          <w:szCs w:val="24"/>
        </w:rPr>
        <w:t>Sagüés</w:t>
      </w:r>
      <w:proofErr w:type="spellEnd"/>
      <w:r w:rsidRPr="00915F7F">
        <w:rPr>
          <w:rFonts w:ascii="Palatino Linotype" w:eastAsia="Calibri" w:hAnsi="Palatino Linotype" w:cs="Arial"/>
          <w:sz w:val="24"/>
          <w:szCs w:val="24"/>
        </w:rPr>
        <w:t xml:space="preserve"> en supuestos que dicho autor denomina como órganos “sui géneris”</w:t>
      </w:r>
      <w:r w:rsidRPr="00915F7F">
        <w:rPr>
          <w:rFonts w:eastAsia="Calibri"/>
          <w:sz w:val="24"/>
          <w:szCs w:val="24"/>
          <w:vertAlign w:val="superscript"/>
        </w:rPr>
        <w:footnoteReference w:id="2"/>
      </w:r>
      <w:r w:rsidRPr="00915F7F">
        <w:rPr>
          <w:rFonts w:ascii="Palatino Linotype" w:eastAsia="Calibri" w:hAnsi="Palatino Linotype" w:cs="Arial"/>
          <w:sz w:val="24"/>
          <w:szCs w:val="24"/>
        </w:rPr>
        <w:t xml:space="preserve"> al referirse al Consejo de la Revolución de Portugal, el Consejo de Custodios o de supervisores de Irán, el Consejo de Estado Francés y el Tribunal de Garantías Constitucionales, si bien dichos órganos cuentan con la capacidad de sujetar a control de constitucionalidad las leyes o reglamentos legislativos, en nuestro caso, es la actuación de los Sujetos Obligados los que se sujetan al cumplimiento de las formalidades señaladas en las disposiciones constitucionales y legales que tutelan un derecho humano: el de acceso a la información pública, por lo que en consecuencia, se trata de un control de constitucionalidad bajo la modalidad de control difuso y con las restricciones precisas que nos ha configurado la propia Suprema Corte de Justicia de la Nación </w:t>
      </w:r>
      <w:r w:rsidRPr="00915F7F">
        <w:rPr>
          <w:rFonts w:ascii="Palatino Linotype" w:eastAsia="Calibri" w:hAnsi="Palatino Linotype" w:cs="Arial"/>
          <w:sz w:val="24"/>
          <w:szCs w:val="24"/>
        </w:rPr>
        <w:lastRenderedPageBreak/>
        <w:t>en cuanto corresponde a las autoridades no jurisdiccionales a través de su resolución al Expediente varios 982/2010.</w:t>
      </w:r>
    </w:p>
    <w:p w:rsidR="00915F7F" w:rsidRPr="00915F7F" w:rsidRDefault="00915F7F" w:rsidP="00915F7F">
      <w:pPr>
        <w:pStyle w:val="Prrafodelista"/>
        <w:rPr>
          <w:rFonts w:ascii="Palatino Linotype" w:eastAsia="Calibri"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Times New Roman" w:hAnsi="Palatino Linotype" w:cs="Arial"/>
          <w:color w:val="222222"/>
          <w:sz w:val="24"/>
          <w:szCs w:val="24"/>
          <w:lang w:val="es-ES" w:eastAsia="es-MX"/>
        </w:rPr>
      </w:pPr>
      <w:r w:rsidRPr="00915F7F">
        <w:rPr>
          <w:rFonts w:ascii="Palatino Linotype" w:eastAsia="Calibri" w:hAnsi="Palatino Linotype" w:cs="Arial"/>
          <w:sz w:val="24"/>
          <w:szCs w:val="24"/>
        </w:rPr>
        <w:t xml:space="preserve">No hay que perder de vista que de lo que se trata finalmente, con el reconocimiento de la fuerza de las resoluciones que emite este Órgano Garante en estos casos específicos consiste en la necesidad de otorgarles la fuerza suficiente a las decisiones que tutelan derechos humanos como mecanismos de control del poder, lo que desde luego forma parte de la justicia constitucional como bien refiere el Doctor </w:t>
      </w:r>
      <w:proofErr w:type="spellStart"/>
      <w:r w:rsidRPr="00915F7F">
        <w:rPr>
          <w:rFonts w:ascii="Palatino Linotype" w:eastAsia="Calibri" w:hAnsi="Palatino Linotype" w:cs="Arial"/>
          <w:sz w:val="24"/>
          <w:szCs w:val="24"/>
        </w:rPr>
        <w:t>Brewer</w:t>
      </w:r>
      <w:proofErr w:type="spellEnd"/>
      <w:r w:rsidRPr="00915F7F">
        <w:rPr>
          <w:rFonts w:ascii="Palatino Linotype" w:eastAsia="Calibri" w:hAnsi="Palatino Linotype" w:cs="Arial"/>
          <w:sz w:val="24"/>
          <w:szCs w:val="24"/>
        </w:rPr>
        <w:t xml:space="preserve"> Carías al señalar:</w:t>
      </w:r>
    </w:p>
    <w:p w:rsidR="00915F7F" w:rsidRPr="00915F7F" w:rsidRDefault="00915F7F" w:rsidP="00915F7F">
      <w:pPr>
        <w:spacing w:after="0" w:line="360" w:lineRule="auto"/>
        <w:ind w:left="567" w:right="616"/>
        <w:contextualSpacing/>
        <w:jc w:val="both"/>
        <w:rPr>
          <w:rFonts w:ascii="Palatino Linotype" w:eastAsia="Calibri" w:hAnsi="Palatino Linotype" w:cs="Arial"/>
          <w:i/>
          <w:sz w:val="24"/>
          <w:szCs w:val="24"/>
        </w:rPr>
      </w:pPr>
      <w:r w:rsidRPr="00915F7F">
        <w:rPr>
          <w:rFonts w:ascii="Palatino Linotype" w:eastAsia="Calibri" w:hAnsi="Palatino Linotype" w:cs="Arial"/>
          <w:i/>
          <w:sz w:val="24"/>
          <w:szCs w:val="24"/>
        </w:rPr>
        <w:t>En otras palabras, para que pueda existir y funcionar efectivamente la democracia y se pueda asegurar realmente la protección de los derechos humanos y la supremacía constitucional mediante la justicia constitucional, se requiere de un marco constitucional que establezca y permita el control del poder, de manera que los diversos poderes del Estado puedan limitarse mutuamente y mediante su división y distribución, el poder pueda frenar al poder. Sólo en un sistema donde exista el control del poder puede haber garantía esencial de todos los valores de la propia democracia, como el respeto a la voluntad popular, la vigencia de los derechos humanos, el pluralismo político, la alternabilidad republicana o el Estado de derecho.</w:t>
      </w:r>
      <w:r w:rsidRPr="00915F7F">
        <w:rPr>
          <w:rFonts w:ascii="Palatino Linotype" w:eastAsia="Calibri" w:hAnsi="Palatino Linotype" w:cs="Arial"/>
          <w:i/>
          <w:sz w:val="24"/>
          <w:szCs w:val="24"/>
          <w:vertAlign w:val="superscript"/>
        </w:rPr>
        <w:footnoteReference w:id="3"/>
      </w:r>
    </w:p>
    <w:p w:rsidR="00915F7F" w:rsidRPr="00915F7F" w:rsidRDefault="00915F7F" w:rsidP="00915F7F">
      <w:pPr>
        <w:pStyle w:val="Prrafodelista"/>
        <w:numPr>
          <w:ilvl w:val="0"/>
          <w:numId w:val="11"/>
        </w:numPr>
        <w:spacing w:before="240" w:after="240" w:line="360" w:lineRule="auto"/>
        <w:ind w:left="0"/>
        <w:jc w:val="both"/>
        <w:rPr>
          <w:rFonts w:ascii="Palatino Linotype" w:eastAsia="Calibri" w:hAnsi="Palatino Linotype" w:cs="Arial"/>
          <w:sz w:val="24"/>
          <w:szCs w:val="24"/>
        </w:rPr>
      </w:pPr>
      <w:r w:rsidRPr="00915F7F">
        <w:rPr>
          <w:rFonts w:ascii="Palatino Linotype" w:eastAsia="Calibri" w:hAnsi="Palatino Linotype" w:cs="Arial"/>
          <w:sz w:val="24"/>
          <w:szCs w:val="24"/>
        </w:rPr>
        <w:lastRenderedPageBreak/>
        <w:t>Por lo que resulta perfectamente explicable que a pesar de que este Órgano Garante no sea plenamente jurisdiccional ni mucho menos forme parte del Tribunal Constitucional, la tutela asignada de un derecho humano como el de acceso a la información pública nos conduce a que las resoluciones emitidas, en los supuestos descritos antes, cuenten con esa condición de determinación firme, inatacable, vinculante y definitiva, ya que de lo que se trata es de poner remedio, de manera breve, expedita y plena, a las afectaciones al derecho en cuestión, siguiendo el mandato constitucional de reparar los derechos humanos vulnerados.</w:t>
      </w:r>
    </w:p>
    <w:p w:rsidR="00915F7F" w:rsidRPr="00915F7F" w:rsidRDefault="00915F7F" w:rsidP="00915F7F">
      <w:pPr>
        <w:pStyle w:val="Prrafodelista"/>
        <w:spacing w:line="360" w:lineRule="auto"/>
        <w:ind w:left="0"/>
        <w:jc w:val="both"/>
        <w:rPr>
          <w:rFonts w:ascii="Palatino Linotype" w:eastAsia="Calibri"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eastAsia="Calibri" w:hAnsi="Palatino Linotype" w:cs="Arial"/>
          <w:sz w:val="24"/>
          <w:szCs w:val="24"/>
        </w:rPr>
      </w:pPr>
      <w:r w:rsidRPr="00915F7F">
        <w:rPr>
          <w:rFonts w:ascii="Palatino Linotype" w:eastAsia="Calibri" w:hAnsi="Palatino Linotype" w:cs="Arial"/>
          <w:sz w:val="24"/>
          <w:szCs w:val="24"/>
        </w:rPr>
        <w:t xml:space="preserve">Por lo que derivado de todo lo anteriormente señalado, </w:t>
      </w:r>
      <w:proofErr w:type="spellStart"/>
      <w:r w:rsidRPr="00915F7F">
        <w:rPr>
          <w:rFonts w:ascii="Palatino Linotype" w:eastAsia="Calibri" w:hAnsi="Palatino Linotype" w:cs="Arial"/>
          <w:sz w:val="24"/>
          <w:szCs w:val="24"/>
        </w:rPr>
        <w:t>seria</w:t>
      </w:r>
      <w:proofErr w:type="spellEnd"/>
      <w:r w:rsidRPr="00915F7F">
        <w:rPr>
          <w:rFonts w:ascii="Palatino Linotype" w:eastAsia="Calibri" w:hAnsi="Palatino Linotype" w:cs="Arial"/>
          <w:sz w:val="24"/>
          <w:szCs w:val="24"/>
        </w:rPr>
        <w:t xml:space="preserve"> ocioso por parte del particular en el presente asunto, interponer juicio de amparo en contra de lo resuelto toda vez que se ordenó en aquella justo lo que el solicitante en un primer momento requirió a través de su garantía primaria que es solicitar información pública gubernamental al </w:t>
      </w:r>
      <w:r>
        <w:rPr>
          <w:rFonts w:ascii="Palatino Linotype" w:eastAsia="Calibri" w:hAnsi="Palatino Linotype" w:cs="Arial"/>
          <w:sz w:val="24"/>
          <w:szCs w:val="24"/>
        </w:rPr>
        <w:t>Sujeto Obligado</w:t>
      </w:r>
      <w:r w:rsidRPr="00915F7F">
        <w:rPr>
          <w:rFonts w:ascii="Palatino Linotype" w:eastAsia="Calibri" w:hAnsi="Palatino Linotype" w:cs="Arial"/>
          <w:sz w:val="24"/>
          <w:szCs w:val="24"/>
        </w:rPr>
        <w:t>, en ese sentido lo legalmente esperado tanto en el asunto que nos ocupa, como en el resto de los demás asuntos de los que conoce este órgano garante, es que se dé cabal cumplimiento a lo ordenado en las resoluciones, dentro del plazo establecido para tal efecto, en donde el actuar mínimo de los sujetos obligados debe sujetarse al cumplimiento de la normatividad, para que el derecho que inicialmente fue afectado, sea reparado.</w:t>
      </w:r>
    </w:p>
    <w:p w:rsidR="00915F7F" w:rsidRPr="00915F7F" w:rsidRDefault="00915F7F" w:rsidP="00915F7F">
      <w:pPr>
        <w:pStyle w:val="Prrafodelista"/>
        <w:rPr>
          <w:rFonts w:ascii="Palatino Linotype" w:eastAsia="Calibri" w:hAnsi="Palatino Linotype" w:cs="Arial"/>
          <w:sz w:val="24"/>
          <w:szCs w:val="24"/>
        </w:rPr>
      </w:pPr>
    </w:p>
    <w:p w:rsidR="00915F7F" w:rsidRDefault="00915F7F" w:rsidP="00915F7F">
      <w:pPr>
        <w:pStyle w:val="Prrafodelista"/>
        <w:numPr>
          <w:ilvl w:val="0"/>
          <w:numId w:val="11"/>
        </w:numPr>
        <w:spacing w:before="240" w:after="240" w:line="360" w:lineRule="auto"/>
        <w:ind w:left="0"/>
        <w:jc w:val="both"/>
        <w:rPr>
          <w:rFonts w:ascii="Palatino Linotype" w:eastAsia="Calibri" w:hAnsi="Palatino Linotype" w:cs="Arial"/>
          <w:sz w:val="24"/>
          <w:szCs w:val="24"/>
        </w:rPr>
      </w:pPr>
      <w:r w:rsidRPr="00915F7F">
        <w:rPr>
          <w:rFonts w:ascii="Palatino Linotype" w:eastAsia="Calibri" w:hAnsi="Palatino Linotype" w:cs="Arial"/>
          <w:sz w:val="24"/>
          <w:szCs w:val="24"/>
        </w:rPr>
        <w:t xml:space="preserve">Se trata entonces, de reparar a la brevedad o bien, en el mínimo tiempo posible, poniendo en práctica el principio de inmediatez y de expedites, respetando también </w:t>
      </w:r>
      <w:r w:rsidRPr="00915F7F">
        <w:rPr>
          <w:rFonts w:ascii="Palatino Linotype" w:eastAsia="Calibri" w:hAnsi="Palatino Linotype" w:cs="Arial"/>
          <w:sz w:val="24"/>
          <w:szCs w:val="24"/>
        </w:rPr>
        <w:lastRenderedPageBreak/>
        <w:t>los principios constitucionales que señalan con claridad en su artículo 1 en su párrafo tercero que señala lo siguiente: ”</w:t>
      </w:r>
      <w:r w:rsidRPr="00915F7F">
        <w:rPr>
          <w:rFonts w:ascii="Palatino Linotype" w:eastAsia="Calibri" w:hAnsi="Palatino Linotype" w:cs="Arial"/>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915F7F">
        <w:rPr>
          <w:rFonts w:ascii="Palatino Linotype" w:eastAsia="Calibri" w:hAnsi="Palatino Linotype" w:cs="Arial"/>
          <w:sz w:val="24"/>
          <w:szCs w:val="24"/>
        </w:rPr>
        <w:t xml:space="preserve"> situación que el </w:t>
      </w:r>
      <w:r>
        <w:rPr>
          <w:rFonts w:ascii="Palatino Linotype" w:eastAsia="Calibri" w:hAnsi="Palatino Linotype" w:cs="Arial"/>
          <w:sz w:val="24"/>
          <w:szCs w:val="24"/>
        </w:rPr>
        <w:t>Sujeto Obligado</w:t>
      </w:r>
      <w:r w:rsidRPr="00915F7F">
        <w:rPr>
          <w:rFonts w:ascii="Palatino Linotype" w:eastAsia="Calibri" w:hAnsi="Palatino Linotype" w:cs="Arial"/>
          <w:sz w:val="24"/>
          <w:szCs w:val="24"/>
        </w:rPr>
        <w:t xml:space="preserve"> no está realizando. Por lo que derivado de todo lo anterior, ante la ausencia de las medidas legales más efectivas para asegurar el cumplimiento de las resoluciones, el particular puede solicitar la tutela del Poder Judicial de la federación a través del Juicio de amparo.</w:t>
      </w:r>
    </w:p>
    <w:p w:rsidR="00A55FE3" w:rsidRPr="00A55FE3" w:rsidRDefault="00A55FE3" w:rsidP="00A55FE3">
      <w:pPr>
        <w:pStyle w:val="Prrafodelista"/>
        <w:rPr>
          <w:rFonts w:ascii="Palatino Linotype" w:eastAsia="Calibri" w:hAnsi="Palatino Linotype" w:cs="Arial"/>
          <w:sz w:val="24"/>
          <w:szCs w:val="24"/>
        </w:rPr>
      </w:pPr>
    </w:p>
    <w:p w:rsidR="00A55FE3" w:rsidRPr="00915F7F" w:rsidRDefault="00A55FE3" w:rsidP="00A55FE3">
      <w:pPr>
        <w:pStyle w:val="Prrafodelista"/>
        <w:spacing w:before="240" w:after="240" w:line="360" w:lineRule="auto"/>
        <w:ind w:left="0"/>
        <w:jc w:val="both"/>
        <w:rPr>
          <w:rFonts w:ascii="Palatino Linotype" w:eastAsia="Calibri" w:hAnsi="Palatino Linotype" w:cs="Arial"/>
          <w:sz w:val="24"/>
          <w:szCs w:val="24"/>
        </w:rPr>
      </w:pPr>
    </w:p>
    <w:p w:rsidR="000C289F" w:rsidRPr="00915F7F" w:rsidRDefault="000C289F" w:rsidP="00F51F8F">
      <w:pPr>
        <w:pStyle w:val="Prrafodelista"/>
        <w:keepNext/>
        <w:keepLines/>
        <w:numPr>
          <w:ilvl w:val="0"/>
          <w:numId w:val="24"/>
        </w:numPr>
        <w:spacing w:before="40" w:after="0"/>
        <w:outlineLvl w:val="1"/>
        <w:rPr>
          <w:rFonts w:ascii="Palatino Linotype" w:eastAsiaTheme="majorEastAsia" w:hAnsi="Palatino Linotype" w:cs="Arial"/>
          <w:b/>
          <w:iCs/>
          <w:color w:val="000000" w:themeColor="text1"/>
          <w:sz w:val="24"/>
          <w:szCs w:val="24"/>
        </w:rPr>
      </w:pPr>
      <w:bookmarkStart w:id="5" w:name="_Toc531012799"/>
      <w:r w:rsidRPr="00915F7F">
        <w:rPr>
          <w:rFonts w:ascii="Palatino Linotype" w:eastAsiaTheme="majorEastAsia" w:hAnsi="Palatino Linotype" w:cs="Arial"/>
          <w:b/>
          <w:iCs/>
          <w:color w:val="000000" w:themeColor="text1"/>
          <w:sz w:val="24"/>
          <w:szCs w:val="24"/>
        </w:rPr>
        <w:t>De</w:t>
      </w:r>
      <w:bookmarkEnd w:id="4"/>
      <w:r w:rsidR="00810E9A" w:rsidRPr="00915F7F">
        <w:rPr>
          <w:rFonts w:ascii="Palatino Linotype" w:eastAsiaTheme="majorEastAsia" w:hAnsi="Palatino Linotype" w:cs="Arial"/>
          <w:b/>
          <w:iCs/>
          <w:color w:val="000000" w:themeColor="text1"/>
          <w:sz w:val="24"/>
          <w:szCs w:val="24"/>
        </w:rPr>
        <w:t xml:space="preserve"> la improcedencia del recurso de revisión</w:t>
      </w:r>
      <w:bookmarkEnd w:id="5"/>
    </w:p>
    <w:p w:rsidR="000C289F" w:rsidRPr="00915F7F" w:rsidRDefault="000C289F" w:rsidP="000C289F">
      <w:pPr>
        <w:keepNext/>
        <w:keepLines/>
        <w:spacing w:before="40" w:after="0"/>
        <w:ind w:left="1080"/>
        <w:outlineLvl w:val="1"/>
        <w:rPr>
          <w:rFonts w:ascii="Palatino Linotype" w:eastAsiaTheme="majorEastAsia" w:hAnsi="Palatino Linotype" w:cs="Arial"/>
          <w:b/>
          <w:iCs/>
          <w:color w:val="000000" w:themeColor="text1"/>
          <w:sz w:val="24"/>
          <w:szCs w:val="24"/>
        </w:rPr>
      </w:pPr>
    </w:p>
    <w:p w:rsidR="00FE7629" w:rsidRDefault="00FE7629" w:rsidP="00FE7629">
      <w:pPr>
        <w:pStyle w:val="Prrafodelista"/>
        <w:numPr>
          <w:ilvl w:val="0"/>
          <w:numId w:val="11"/>
        </w:numPr>
        <w:spacing w:before="240" w:after="240" w:line="360" w:lineRule="auto"/>
        <w:ind w:left="0"/>
        <w:jc w:val="both"/>
        <w:rPr>
          <w:rFonts w:ascii="Palatino Linotype" w:hAnsi="Palatino Linotype" w:cs="Arial"/>
          <w:sz w:val="24"/>
          <w:szCs w:val="24"/>
        </w:rPr>
      </w:pPr>
      <w:r w:rsidRPr="00915F7F">
        <w:rPr>
          <w:rFonts w:ascii="Palatino Linotype" w:hAnsi="Palatino Linotype" w:cs="Arial"/>
          <w:bCs/>
          <w:sz w:val="24"/>
          <w:szCs w:val="24"/>
        </w:rPr>
        <w:t xml:space="preserve">En primer término, es importante referir que el Código de </w:t>
      </w:r>
      <w:r w:rsidRPr="00915F7F">
        <w:rPr>
          <w:rFonts w:ascii="Palatino Linotype" w:hAnsi="Palatino Linotype" w:cs="Arial"/>
          <w:sz w:val="24"/>
          <w:szCs w:val="24"/>
        </w:rPr>
        <w:t xml:space="preserve">Procedimientos Civiles del Estado de México, establece que se da la figura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 lo cual constituye una causal de improcedencia cuya explicación lógica se encuentra en la ociosidad que supone tramitar un segundo procedimiento cuando </w:t>
      </w:r>
      <w:r w:rsidRPr="00915F7F">
        <w:rPr>
          <w:rFonts w:ascii="Palatino Linotype" w:hAnsi="Palatino Linotype" w:cs="Arial"/>
          <w:sz w:val="24"/>
          <w:szCs w:val="24"/>
        </w:rPr>
        <w:lastRenderedPageBreak/>
        <w:t>el requirente de información ya tuvo la oportunidad de acceso al a información; para así, evitar la posibilidad d</w:t>
      </w:r>
      <w:r w:rsidR="00915F7F">
        <w:rPr>
          <w:rFonts w:ascii="Palatino Linotype" w:hAnsi="Palatino Linotype" w:cs="Arial"/>
          <w:sz w:val="24"/>
          <w:szCs w:val="24"/>
        </w:rPr>
        <w:t>e</w:t>
      </w:r>
      <w:r w:rsidRPr="00915F7F">
        <w:rPr>
          <w:rFonts w:ascii="Palatino Linotype" w:hAnsi="Palatino Linotype" w:cs="Arial"/>
          <w:sz w:val="24"/>
          <w:szCs w:val="24"/>
        </w:rPr>
        <w:t xml:space="preserve"> que se emitan resoluciones contradictorias. </w:t>
      </w:r>
    </w:p>
    <w:p w:rsidR="00A55FE3" w:rsidRDefault="00A55FE3" w:rsidP="00A55FE3">
      <w:pPr>
        <w:pStyle w:val="Prrafodelista"/>
        <w:spacing w:before="240" w:after="240" w:line="360" w:lineRule="auto"/>
        <w:ind w:left="0"/>
        <w:jc w:val="both"/>
        <w:rPr>
          <w:rFonts w:ascii="Palatino Linotype" w:hAnsi="Palatino Linotype" w:cs="Arial"/>
          <w:sz w:val="24"/>
          <w:szCs w:val="24"/>
        </w:rPr>
      </w:pPr>
    </w:p>
    <w:p w:rsidR="00915F7F" w:rsidRPr="00915F7F" w:rsidRDefault="00915F7F" w:rsidP="00915F7F">
      <w:pPr>
        <w:pStyle w:val="Prrafodelista"/>
        <w:numPr>
          <w:ilvl w:val="0"/>
          <w:numId w:val="11"/>
        </w:numPr>
        <w:spacing w:before="240" w:after="240" w:line="360" w:lineRule="auto"/>
        <w:ind w:left="0"/>
        <w:jc w:val="both"/>
        <w:rPr>
          <w:rFonts w:ascii="Palatino Linotype" w:hAnsi="Palatino Linotype" w:cs="Arial"/>
          <w:sz w:val="24"/>
          <w:szCs w:val="24"/>
        </w:rPr>
      </w:pPr>
      <w:r w:rsidRPr="00915F7F">
        <w:rPr>
          <w:rFonts w:ascii="Palatino Linotype" w:hAnsi="Palatino Linotype" w:cs="Arial"/>
          <w:sz w:val="24"/>
          <w:szCs w:val="24"/>
        </w:rPr>
        <w:t>En este sentido, como bien se refiere en la resolución</w:t>
      </w:r>
      <w:r w:rsidR="00B862C1">
        <w:rPr>
          <w:rFonts w:ascii="Palatino Linotype" w:hAnsi="Palatino Linotype" w:cs="Arial"/>
          <w:sz w:val="24"/>
          <w:szCs w:val="24"/>
        </w:rPr>
        <w:t>,</w:t>
      </w:r>
      <w:r w:rsidRPr="00915F7F">
        <w:rPr>
          <w:rFonts w:ascii="Palatino Linotype" w:hAnsi="Palatino Linotype" w:cs="Arial"/>
          <w:sz w:val="24"/>
          <w:szCs w:val="24"/>
        </w:rPr>
        <w:t xml:space="preserve"> el Código de Procedimientos Administrativos del Estado de México, de aplicación supletoria, en </w:t>
      </w:r>
      <w:r w:rsidRPr="00915F7F">
        <w:rPr>
          <w:rFonts w:ascii="Palatino Linotype" w:hAnsi="Palatino Linotype" w:cs="Arial"/>
          <w:bCs/>
          <w:sz w:val="24"/>
          <w:szCs w:val="24"/>
        </w:rPr>
        <w:t>términos</w:t>
      </w:r>
      <w:r w:rsidRPr="00915F7F">
        <w:rPr>
          <w:rFonts w:ascii="Palatino Linotype" w:hAnsi="Palatino Linotype" w:cs="Arial"/>
          <w:sz w:val="24"/>
          <w:szCs w:val="24"/>
        </w:rPr>
        <w:t xml:space="preserve"> del artículo 195 de la Ley de Transparencia y Acceso a la Información Pública del Estado de México y Municipios, </w:t>
      </w:r>
      <w:r w:rsidR="00B862C1">
        <w:rPr>
          <w:rFonts w:ascii="Palatino Linotype" w:hAnsi="Palatino Linotype" w:cs="Arial"/>
          <w:sz w:val="24"/>
          <w:szCs w:val="24"/>
        </w:rPr>
        <w:t>establece</w:t>
      </w:r>
      <w:r w:rsidRPr="00915F7F">
        <w:rPr>
          <w:rFonts w:ascii="Palatino Linotype" w:hAnsi="Palatino Linotype" w:cs="Arial"/>
          <w:sz w:val="24"/>
          <w:szCs w:val="24"/>
        </w:rPr>
        <w:t>:</w:t>
      </w:r>
    </w:p>
    <w:p w:rsidR="00915F7F" w:rsidRPr="00B8651E" w:rsidRDefault="00915F7F" w:rsidP="00915F7F">
      <w:pPr>
        <w:spacing w:before="160" w:line="276" w:lineRule="auto"/>
        <w:ind w:left="709" w:right="709"/>
        <w:jc w:val="center"/>
        <w:rPr>
          <w:rFonts w:ascii="Palatino Linotype" w:hAnsi="Palatino Linotype" w:cs="Arial"/>
          <w:b/>
          <w:i/>
          <w:sz w:val="20"/>
        </w:rPr>
      </w:pPr>
      <w:r w:rsidRPr="00B8651E">
        <w:rPr>
          <w:rFonts w:ascii="Palatino Linotype" w:hAnsi="Palatino Linotype" w:cs="Arial"/>
          <w:b/>
          <w:i/>
        </w:rPr>
        <w:t>Ley de Transparencia y Acceso a la Información Pública del Estado de México y Municipios</w:t>
      </w:r>
    </w:p>
    <w:p w:rsidR="00915F7F" w:rsidRPr="00B8651E" w:rsidRDefault="00915F7F" w:rsidP="00915F7F">
      <w:pPr>
        <w:spacing w:before="160" w:line="276" w:lineRule="auto"/>
        <w:ind w:left="709" w:right="709"/>
        <w:jc w:val="both"/>
        <w:rPr>
          <w:rFonts w:ascii="Palatino Linotype" w:hAnsi="Palatino Linotype" w:cs="Arial"/>
          <w:i/>
        </w:rPr>
      </w:pPr>
      <w:r w:rsidRPr="00B8651E">
        <w:rPr>
          <w:rFonts w:ascii="Palatino Linotype" w:hAnsi="Palatino Linotype" w:cs="Arial"/>
          <w:b/>
          <w:i/>
        </w:rPr>
        <w:t>Artículo 195</w:t>
      </w:r>
      <w:r w:rsidRPr="00B8651E">
        <w:rPr>
          <w:rFonts w:ascii="Palatino Linotype" w:hAnsi="Palatino Linotype" w:cs="Arial"/>
          <w:i/>
        </w:rPr>
        <w:t xml:space="preserve">. </w:t>
      </w:r>
      <w:r w:rsidRPr="00B8651E">
        <w:rPr>
          <w:rFonts w:ascii="Palatino Linotype" w:hAnsi="Palatino Linotype" w:cs="Arial"/>
          <w:b/>
          <w:i/>
          <w:u w:val="single"/>
        </w:rPr>
        <w:t>En la tramitación del recurso de revisión se aplicarán supletoriamente las disposiciones contenidas en el Código de Procedimientos Administrativos del Estado de México</w:t>
      </w:r>
      <w:r w:rsidRPr="00B8651E">
        <w:rPr>
          <w:rFonts w:ascii="Palatino Linotype" w:hAnsi="Palatino Linotype" w:cs="Arial"/>
          <w:i/>
        </w:rPr>
        <w:t>.</w:t>
      </w:r>
    </w:p>
    <w:p w:rsidR="00A55FE3" w:rsidRDefault="00A55FE3" w:rsidP="00915F7F">
      <w:pPr>
        <w:spacing w:before="160" w:line="276" w:lineRule="auto"/>
        <w:ind w:left="709" w:right="709"/>
        <w:jc w:val="center"/>
        <w:rPr>
          <w:rFonts w:ascii="Palatino Linotype" w:hAnsi="Palatino Linotype" w:cs="Arial"/>
          <w:b/>
          <w:i/>
        </w:rPr>
      </w:pPr>
    </w:p>
    <w:p w:rsidR="00915F7F" w:rsidRPr="00B8651E" w:rsidRDefault="00915F7F" w:rsidP="00915F7F">
      <w:pPr>
        <w:spacing w:before="160" w:line="276" w:lineRule="auto"/>
        <w:ind w:left="709" w:right="709"/>
        <w:jc w:val="center"/>
        <w:rPr>
          <w:rFonts w:ascii="Palatino Linotype" w:hAnsi="Palatino Linotype" w:cs="Arial"/>
          <w:b/>
          <w:i/>
        </w:rPr>
      </w:pPr>
      <w:r w:rsidRPr="00B8651E">
        <w:rPr>
          <w:rFonts w:ascii="Palatino Linotype" w:hAnsi="Palatino Linotype" w:cs="Arial"/>
          <w:b/>
          <w:i/>
        </w:rPr>
        <w:t>Código de Procedimientos Administrativos del Estado de México</w:t>
      </w:r>
    </w:p>
    <w:p w:rsidR="00915F7F" w:rsidRPr="00B8651E" w:rsidRDefault="00915F7F" w:rsidP="00915F7F">
      <w:pPr>
        <w:spacing w:before="160" w:line="276" w:lineRule="auto"/>
        <w:ind w:left="709" w:right="709"/>
        <w:jc w:val="both"/>
        <w:rPr>
          <w:rFonts w:ascii="Palatino Linotype" w:hAnsi="Palatino Linotype" w:cs="Arial"/>
          <w:i/>
        </w:rPr>
      </w:pPr>
      <w:r w:rsidRPr="00B8651E">
        <w:rPr>
          <w:rFonts w:ascii="Palatino Linotype" w:hAnsi="Palatino Linotype" w:cs="Arial"/>
          <w:b/>
          <w:i/>
        </w:rPr>
        <w:t>Artículo 195</w:t>
      </w:r>
      <w:r w:rsidRPr="00B8651E">
        <w:rPr>
          <w:rFonts w:ascii="Palatino Linotype" w:hAnsi="Palatino Linotype" w:cs="Arial"/>
          <w:i/>
        </w:rPr>
        <w:t xml:space="preserve">.- </w:t>
      </w:r>
      <w:r w:rsidRPr="00B8651E">
        <w:rPr>
          <w:rFonts w:ascii="Palatino Linotype" w:hAnsi="Palatino Linotype" w:cs="Arial"/>
          <w:b/>
          <w:i/>
          <w:u w:val="single"/>
        </w:rPr>
        <w:t>Es improcedente el recurso</w:t>
      </w:r>
      <w:r w:rsidRPr="00B8651E">
        <w:rPr>
          <w:rFonts w:ascii="Palatino Linotype" w:hAnsi="Palatino Linotype" w:cs="Arial"/>
          <w:i/>
        </w:rPr>
        <w:t xml:space="preserve">: </w:t>
      </w:r>
    </w:p>
    <w:p w:rsidR="00915F7F" w:rsidRPr="00B8651E" w:rsidRDefault="00915F7F" w:rsidP="00915F7F">
      <w:pPr>
        <w:spacing w:before="160" w:line="276" w:lineRule="auto"/>
        <w:ind w:left="709" w:right="709"/>
        <w:jc w:val="both"/>
        <w:rPr>
          <w:rFonts w:ascii="Palatino Linotype" w:hAnsi="Palatino Linotype" w:cs="Arial"/>
          <w:i/>
        </w:rPr>
      </w:pPr>
      <w:r w:rsidRPr="00B8651E">
        <w:rPr>
          <w:rFonts w:ascii="Palatino Linotype" w:hAnsi="Palatino Linotype" w:cs="Arial"/>
          <w:b/>
          <w:i/>
        </w:rPr>
        <w:t xml:space="preserve">I. </w:t>
      </w:r>
      <w:r w:rsidRPr="00B8651E">
        <w:rPr>
          <w:rFonts w:ascii="Palatino Linotype" w:hAnsi="Palatino Linotype" w:cs="Arial"/>
          <w:b/>
          <w:i/>
          <w:u w:val="single"/>
        </w:rPr>
        <w:t>Contra actos que hayan sido impugnados en un anterior recurso administrativo</w:t>
      </w:r>
      <w:r w:rsidRPr="00B8651E">
        <w:rPr>
          <w:rFonts w:ascii="Palatino Linotype" w:hAnsi="Palatino Linotype" w:cs="Arial"/>
          <w:i/>
        </w:rPr>
        <w:t xml:space="preserve"> o en un proceso jurisdiccional, </w:t>
      </w:r>
      <w:r w:rsidRPr="00B8651E">
        <w:rPr>
          <w:rFonts w:ascii="Palatino Linotype" w:hAnsi="Palatino Linotype" w:cs="Arial"/>
          <w:b/>
          <w:i/>
          <w:u w:val="single"/>
        </w:rPr>
        <w:t>siempre que exista resolución ejecutoria que decida el asunto planteado</w:t>
      </w:r>
      <w:r w:rsidRPr="00B8651E">
        <w:rPr>
          <w:rFonts w:ascii="Palatino Linotype" w:hAnsi="Palatino Linotype" w:cs="Arial"/>
          <w:i/>
        </w:rPr>
        <w:t>;</w:t>
      </w:r>
    </w:p>
    <w:p w:rsidR="00915F7F" w:rsidRPr="00B8651E" w:rsidRDefault="00915F7F" w:rsidP="00915F7F">
      <w:pPr>
        <w:spacing w:before="160" w:line="276" w:lineRule="auto"/>
        <w:ind w:left="709" w:right="709"/>
        <w:jc w:val="both"/>
        <w:rPr>
          <w:rFonts w:ascii="Palatino Linotype" w:hAnsi="Palatino Linotype" w:cs="Arial"/>
          <w:b/>
          <w:i/>
        </w:rPr>
      </w:pPr>
      <w:r w:rsidRPr="00B8651E">
        <w:rPr>
          <w:rFonts w:ascii="Palatino Linotype" w:hAnsi="Palatino Linotype" w:cs="Arial"/>
          <w:b/>
          <w:i/>
        </w:rPr>
        <w:t xml:space="preserve">Artículo 196.- </w:t>
      </w:r>
      <w:r w:rsidRPr="00B8651E">
        <w:rPr>
          <w:rFonts w:ascii="Palatino Linotype" w:hAnsi="Palatino Linotype" w:cs="Arial"/>
          <w:b/>
          <w:i/>
          <w:u w:val="single"/>
        </w:rPr>
        <w:t xml:space="preserve">Será </w:t>
      </w:r>
      <w:proofErr w:type="spellStart"/>
      <w:r w:rsidRPr="00B8651E">
        <w:rPr>
          <w:rFonts w:ascii="Palatino Linotype" w:hAnsi="Palatino Linotype" w:cs="Arial"/>
          <w:b/>
          <w:i/>
          <w:u w:val="single"/>
        </w:rPr>
        <w:t>sobreseido</w:t>
      </w:r>
      <w:proofErr w:type="spellEnd"/>
      <w:r w:rsidRPr="00B8651E">
        <w:rPr>
          <w:rFonts w:ascii="Palatino Linotype" w:hAnsi="Palatino Linotype" w:cs="Arial"/>
          <w:b/>
          <w:i/>
          <w:u w:val="single"/>
        </w:rPr>
        <w:t xml:space="preserve"> el recurso cuando</w:t>
      </w:r>
      <w:r w:rsidRPr="00B8651E">
        <w:rPr>
          <w:rFonts w:ascii="Palatino Linotype" w:hAnsi="Palatino Linotype" w:cs="Arial"/>
          <w:b/>
          <w:i/>
        </w:rPr>
        <w:t>:</w:t>
      </w:r>
    </w:p>
    <w:p w:rsidR="00915F7F" w:rsidRPr="00B8651E" w:rsidRDefault="00915F7F" w:rsidP="00915F7F">
      <w:pPr>
        <w:spacing w:before="160" w:line="276" w:lineRule="auto"/>
        <w:ind w:left="709" w:right="709"/>
        <w:jc w:val="both"/>
        <w:rPr>
          <w:rFonts w:ascii="Palatino Linotype" w:hAnsi="Palatino Linotype" w:cs="Arial"/>
          <w:i/>
        </w:rPr>
      </w:pPr>
      <w:r w:rsidRPr="00B8651E">
        <w:rPr>
          <w:rFonts w:ascii="Palatino Linotype" w:hAnsi="Palatino Linotype" w:cs="Arial"/>
          <w:i/>
        </w:rPr>
        <w:t>[…]</w:t>
      </w:r>
    </w:p>
    <w:p w:rsidR="00915F7F" w:rsidRPr="00B8651E" w:rsidRDefault="00915F7F" w:rsidP="00915F7F">
      <w:pPr>
        <w:spacing w:before="160" w:line="276" w:lineRule="auto"/>
        <w:ind w:left="709" w:right="709"/>
        <w:jc w:val="both"/>
        <w:rPr>
          <w:rFonts w:ascii="Palatino Linotype" w:hAnsi="Palatino Linotype" w:cs="Arial"/>
          <w:i/>
        </w:rPr>
      </w:pPr>
      <w:r w:rsidRPr="00B8651E">
        <w:rPr>
          <w:rFonts w:ascii="Palatino Linotype" w:hAnsi="Palatino Linotype" w:cs="Arial"/>
          <w:b/>
          <w:i/>
        </w:rPr>
        <w:t>II.</w:t>
      </w:r>
      <w:r w:rsidRPr="00B8651E">
        <w:rPr>
          <w:rFonts w:ascii="Palatino Linotype" w:hAnsi="Palatino Linotype" w:cs="Arial"/>
          <w:i/>
        </w:rPr>
        <w:t xml:space="preserve"> </w:t>
      </w:r>
      <w:r w:rsidRPr="00B8651E">
        <w:rPr>
          <w:rFonts w:ascii="Palatino Linotype" w:hAnsi="Palatino Linotype" w:cs="Arial"/>
          <w:b/>
          <w:i/>
          <w:u w:val="single"/>
        </w:rPr>
        <w:t>Durante el procedimiento apareciere</w:t>
      </w:r>
      <w:r w:rsidRPr="00B8651E">
        <w:rPr>
          <w:rFonts w:ascii="Palatino Linotype" w:hAnsi="Palatino Linotype" w:cs="Arial"/>
          <w:i/>
        </w:rPr>
        <w:t xml:space="preserve"> o sobreviniere </w:t>
      </w:r>
      <w:r w:rsidRPr="00B8651E">
        <w:rPr>
          <w:rFonts w:ascii="Palatino Linotype" w:hAnsi="Palatino Linotype" w:cs="Arial"/>
          <w:b/>
          <w:i/>
          <w:u w:val="single"/>
        </w:rPr>
        <w:t>alguna de las causas de improcedencia del recurso</w:t>
      </w:r>
      <w:r w:rsidRPr="00B8651E">
        <w:rPr>
          <w:rFonts w:ascii="Palatino Linotype" w:hAnsi="Palatino Linotype" w:cs="Arial"/>
          <w:i/>
        </w:rPr>
        <w:t>;</w:t>
      </w:r>
    </w:p>
    <w:p w:rsidR="00915F7F" w:rsidRDefault="00915F7F" w:rsidP="00915F7F">
      <w:pPr>
        <w:spacing w:before="160" w:line="276" w:lineRule="auto"/>
        <w:ind w:left="709" w:right="709"/>
        <w:jc w:val="both"/>
        <w:rPr>
          <w:rFonts w:ascii="Palatino Linotype" w:hAnsi="Palatino Linotype" w:cs="Arial"/>
        </w:rPr>
      </w:pPr>
      <w:r w:rsidRPr="00B8651E">
        <w:rPr>
          <w:rFonts w:ascii="Palatino Linotype" w:hAnsi="Palatino Linotype" w:cs="Arial"/>
        </w:rPr>
        <w:t>(Énfasis añadido)</w:t>
      </w:r>
    </w:p>
    <w:p w:rsidR="00A55FE3" w:rsidRPr="00B8651E" w:rsidRDefault="00A55FE3" w:rsidP="00915F7F">
      <w:pPr>
        <w:spacing w:before="160" w:line="276" w:lineRule="auto"/>
        <w:ind w:left="709" w:right="709"/>
        <w:jc w:val="both"/>
        <w:rPr>
          <w:rFonts w:ascii="Palatino Linotype" w:hAnsi="Palatino Linotype" w:cs="Arial"/>
        </w:rPr>
      </w:pPr>
    </w:p>
    <w:p w:rsidR="00915F7F" w:rsidRPr="00B862C1" w:rsidRDefault="00B862C1" w:rsidP="00915F7F">
      <w:pPr>
        <w:pStyle w:val="Prrafodelista"/>
        <w:numPr>
          <w:ilvl w:val="0"/>
          <w:numId w:val="11"/>
        </w:numPr>
        <w:spacing w:before="240" w:after="240" w:line="360" w:lineRule="auto"/>
        <w:ind w:left="0"/>
        <w:jc w:val="both"/>
        <w:rPr>
          <w:rFonts w:ascii="Palatino Linotype" w:hAnsi="Palatino Linotype" w:cs="Arial"/>
          <w:i/>
          <w:sz w:val="24"/>
          <w:szCs w:val="24"/>
        </w:rPr>
      </w:pPr>
      <w:r>
        <w:rPr>
          <w:rFonts w:ascii="Palatino Linotype" w:hAnsi="Palatino Linotype" w:cs="Arial"/>
          <w:sz w:val="24"/>
          <w:szCs w:val="24"/>
        </w:rPr>
        <w:t xml:space="preserve">La ponencia señaló “… </w:t>
      </w:r>
      <w:r w:rsidRPr="00B862C1">
        <w:rPr>
          <w:rFonts w:ascii="Palatino Linotype" w:hAnsi="Palatino Linotype" w:cs="Arial"/>
          <w:i/>
          <w:sz w:val="24"/>
          <w:szCs w:val="24"/>
        </w:rPr>
        <w:t>D</w:t>
      </w:r>
      <w:r w:rsidR="00915F7F" w:rsidRPr="00B862C1">
        <w:rPr>
          <w:rFonts w:ascii="Palatino Linotype" w:hAnsi="Palatino Linotype" w:cs="Arial"/>
          <w:i/>
          <w:sz w:val="24"/>
          <w:szCs w:val="24"/>
        </w:rPr>
        <w:t xml:space="preserve">e dichos preceptos se desprende que, el medio de controversia será sobreseído cuando durante la </w:t>
      </w:r>
      <w:r w:rsidR="00915F7F" w:rsidRPr="00B862C1">
        <w:rPr>
          <w:rFonts w:ascii="Palatino Linotype" w:hAnsi="Palatino Linotype"/>
          <w:i/>
          <w:sz w:val="24"/>
          <w:szCs w:val="24"/>
        </w:rPr>
        <w:t>tramitación</w:t>
      </w:r>
      <w:r w:rsidR="00915F7F" w:rsidRPr="00B862C1">
        <w:rPr>
          <w:rFonts w:ascii="Palatino Linotype" w:hAnsi="Palatino Linotype" w:cs="Arial"/>
          <w:i/>
          <w:sz w:val="24"/>
          <w:szCs w:val="24"/>
        </w:rPr>
        <w:t xml:space="preserve"> del procedimiento apareciere </w:t>
      </w:r>
      <w:r w:rsidR="00915F7F" w:rsidRPr="00B862C1">
        <w:rPr>
          <w:rFonts w:ascii="Palatino Linotype" w:hAnsi="Palatino Linotype" w:cs="Arial"/>
          <w:b/>
          <w:i/>
          <w:sz w:val="24"/>
          <w:szCs w:val="24"/>
        </w:rPr>
        <w:t>una causal de improcedencia</w:t>
      </w:r>
      <w:r w:rsidR="00915F7F" w:rsidRPr="00B862C1">
        <w:rPr>
          <w:rFonts w:ascii="Palatino Linotype" w:hAnsi="Palatino Linotype" w:cs="Arial"/>
          <w:i/>
          <w:sz w:val="24"/>
          <w:szCs w:val="24"/>
        </w:rPr>
        <w:t xml:space="preserve">, lo </w:t>
      </w:r>
      <w:r w:rsidR="00915F7F" w:rsidRPr="00B862C1">
        <w:rPr>
          <w:rFonts w:ascii="Palatino Linotype" w:hAnsi="Palatino Linotype" w:cs="Arial"/>
          <w:bCs/>
          <w:i/>
          <w:sz w:val="24"/>
          <w:szCs w:val="24"/>
        </w:rPr>
        <w:t>cual</w:t>
      </w:r>
      <w:r w:rsidR="00915F7F" w:rsidRPr="00B862C1">
        <w:rPr>
          <w:rFonts w:ascii="Palatino Linotype" w:hAnsi="Palatino Linotype" w:cs="Arial"/>
          <w:i/>
          <w:sz w:val="24"/>
          <w:szCs w:val="24"/>
        </w:rPr>
        <w:t xml:space="preserve"> nos remite de manera particular, a la causal que alude a que es improcedente cuando los actos ya hayan sido impugnados </w:t>
      </w:r>
      <w:r w:rsidR="00915F7F" w:rsidRPr="00B862C1">
        <w:rPr>
          <w:rFonts w:ascii="Palatino Linotype" w:hAnsi="Palatino Linotype" w:cs="Arial"/>
          <w:b/>
          <w:i/>
          <w:sz w:val="24"/>
          <w:szCs w:val="24"/>
        </w:rPr>
        <w:t>por el mismo recurrente</w:t>
      </w:r>
      <w:r w:rsidR="00915F7F" w:rsidRPr="00B862C1">
        <w:rPr>
          <w:rFonts w:ascii="Palatino Linotype" w:hAnsi="Palatino Linotype" w:cs="Arial"/>
          <w:i/>
          <w:sz w:val="24"/>
          <w:szCs w:val="24"/>
        </w:rPr>
        <w:t>, en otro medio de defensa, en que ya se haya dictado resolución ejecutoria que decida el fondo del asunto.</w:t>
      </w:r>
      <w:r>
        <w:rPr>
          <w:rFonts w:ascii="Palatino Linotype" w:hAnsi="Palatino Linotype" w:cs="Arial"/>
          <w:i/>
          <w:sz w:val="24"/>
          <w:szCs w:val="24"/>
        </w:rPr>
        <w:t>”</w:t>
      </w:r>
    </w:p>
    <w:p w:rsidR="00915F7F" w:rsidRPr="00915F7F" w:rsidRDefault="00915F7F" w:rsidP="00B862C1">
      <w:pPr>
        <w:pStyle w:val="Prrafodelista"/>
        <w:spacing w:before="240" w:after="240" w:line="360" w:lineRule="auto"/>
        <w:ind w:left="0"/>
        <w:jc w:val="both"/>
        <w:rPr>
          <w:rFonts w:ascii="Palatino Linotype" w:hAnsi="Palatino Linotype" w:cs="Arial"/>
          <w:sz w:val="24"/>
          <w:szCs w:val="24"/>
        </w:rPr>
      </w:pPr>
    </w:p>
    <w:p w:rsidR="00B862C1" w:rsidRPr="00B862C1" w:rsidRDefault="00B862C1" w:rsidP="00F51F8F">
      <w:pPr>
        <w:pStyle w:val="Prrafodelista"/>
        <w:numPr>
          <w:ilvl w:val="0"/>
          <w:numId w:val="11"/>
        </w:numPr>
        <w:spacing w:before="240" w:after="240" w:line="360" w:lineRule="auto"/>
        <w:ind w:left="0"/>
        <w:jc w:val="both"/>
        <w:rPr>
          <w:rFonts w:ascii="Palatino Linotype" w:hAnsi="Palatino Linotype" w:cs="Arial"/>
          <w:bCs/>
          <w:sz w:val="24"/>
          <w:szCs w:val="24"/>
        </w:rPr>
      </w:pPr>
      <w:r>
        <w:rPr>
          <w:rFonts w:ascii="Palatino Linotype" w:hAnsi="Palatino Linotype" w:cs="Arial"/>
          <w:bCs/>
          <w:sz w:val="24"/>
          <w:szCs w:val="24"/>
        </w:rPr>
        <w:t xml:space="preserve">Por consiguiente, al tratarse de una causal de improcedencia, al momento de resolver, se debió invocar la fracción IV del artículo 192 de </w:t>
      </w:r>
      <w:r w:rsidRPr="00B73E8B">
        <w:rPr>
          <w:rFonts w:ascii="Palatino Linotype" w:eastAsia="MS Mincho" w:hAnsi="Palatino Linotype" w:cs="Times New Roman"/>
          <w:color w:val="000000"/>
        </w:rPr>
        <w:t>Ley de Transparencia y Acceso a la Información Pública del Estado de México y Municipios</w:t>
      </w:r>
      <w:r>
        <w:rPr>
          <w:rFonts w:ascii="Palatino Linotype" w:eastAsia="MS Mincho" w:hAnsi="Palatino Linotype" w:cs="Times New Roman"/>
          <w:color w:val="000000"/>
        </w:rPr>
        <w:t xml:space="preserve"> que a la letra dice: </w:t>
      </w:r>
    </w:p>
    <w:p w:rsidR="00B862C1" w:rsidRPr="00B862C1" w:rsidRDefault="00B862C1" w:rsidP="00B862C1">
      <w:pPr>
        <w:pStyle w:val="Prrafodelista"/>
        <w:rPr>
          <w:rFonts w:ascii="Palatino Linotype" w:hAnsi="Palatino Linotype" w:cs="Arial"/>
          <w:bCs/>
          <w:sz w:val="24"/>
          <w:szCs w:val="24"/>
        </w:rPr>
      </w:pPr>
    </w:p>
    <w:p w:rsidR="00B862C1" w:rsidRPr="00B73E8B" w:rsidRDefault="00B862C1" w:rsidP="00B862C1">
      <w:pPr>
        <w:spacing w:before="240" w:after="240" w:line="360" w:lineRule="auto"/>
        <w:ind w:left="851" w:right="709"/>
        <w:jc w:val="both"/>
        <w:rPr>
          <w:rFonts w:ascii="Palatino Linotype" w:eastAsia="MS Mincho" w:hAnsi="Palatino Linotype" w:cs="Times New Roman"/>
          <w:i/>
          <w:color w:val="000000"/>
        </w:rPr>
      </w:pPr>
      <w:r>
        <w:rPr>
          <w:rFonts w:ascii="Palatino Linotype" w:eastAsia="MS Mincho" w:hAnsi="Palatino Linotype" w:cs="Times New Roman"/>
          <w:b/>
          <w:i/>
          <w:color w:val="000000"/>
        </w:rPr>
        <w:t>“</w:t>
      </w:r>
      <w:r w:rsidRPr="00B862C1">
        <w:rPr>
          <w:rFonts w:ascii="Palatino Linotype" w:eastAsia="MS Mincho" w:hAnsi="Palatino Linotype" w:cs="Times New Roman"/>
          <w:b/>
          <w:i/>
          <w:color w:val="000000"/>
        </w:rPr>
        <w:t>Artículo 192.</w:t>
      </w:r>
      <w:r w:rsidRPr="00B73E8B">
        <w:rPr>
          <w:rFonts w:ascii="Palatino Linotype" w:eastAsia="MS Mincho" w:hAnsi="Palatino Linotype" w:cs="Times New Roman"/>
          <w:i/>
          <w:color w:val="000000"/>
        </w:rPr>
        <w:t xml:space="preserve"> El recurso de revisión será sobreseído, en todo o en parte, cuando una vez admitido, se actualicen alguno de los siguientes supuestos:</w:t>
      </w:r>
    </w:p>
    <w:p w:rsidR="00B862C1" w:rsidRPr="00B73E8B" w:rsidRDefault="00B862C1" w:rsidP="00B862C1">
      <w:pPr>
        <w:spacing w:before="240" w:after="240" w:line="360" w:lineRule="auto"/>
        <w:ind w:left="851" w:right="709"/>
        <w:jc w:val="both"/>
        <w:rPr>
          <w:rFonts w:ascii="Palatino Linotype" w:eastAsia="MS Mincho" w:hAnsi="Palatino Linotype" w:cs="Times New Roman"/>
          <w:i/>
          <w:color w:val="000000"/>
        </w:rPr>
      </w:pPr>
      <w:r w:rsidRPr="00B73E8B">
        <w:rPr>
          <w:rFonts w:ascii="Palatino Linotype" w:eastAsia="MS Mincho" w:hAnsi="Palatino Linotype" w:cs="Times New Roman"/>
          <w:i/>
          <w:color w:val="000000"/>
        </w:rPr>
        <w:t>…</w:t>
      </w:r>
    </w:p>
    <w:p w:rsidR="00B862C1" w:rsidRPr="00B73E8B" w:rsidRDefault="00B862C1" w:rsidP="00B862C1">
      <w:pPr>
        <w:spacing w:before="240" w:after="240" w:line="360" w:lineRule="auto"/>
        <w:ind w:left="851" w:right="709"/>
        <w:jc w:val="both"/>
        <w:rPr>
          <w:rFonts w:ascii="Palatino Linotype" w:eastAsia="MS Mincho" w:hAnsi="Palatino Linotype" w:cs="Times New Roman"/>
          <w:i/>
          <w:color w:val="000000"/>
        </w:rPr>
      </w:pPr>
      <w:r w:rsidRPr="00B73E8B">
        <w:rPr>
          <w:rFonts w:ascii="Palatino Linotype" w:eastAsia="MS Mincho" w:hAnsi="Palatino Linotype" w:cs="Times New Roman"/>
          <w:i/>
          <w:color w:val="000000"/>
        </w:rPr>
        <w:t>IV. Admitido el recurso de revisión, a</w:t>
      </w:r>
      <w:r w:rsidRPr="00B73E8B">
        <w:rPr>
          <w:rFonts w:ascii="Palatino Linotype" w:eastAsia="MS Mincho" w:hAnsi="Palatino Linotype" w:cs="Times New Roman"/>
          <w:i/>
          <w:color w:val="000000"/>
          <w:u w:val="single"/>
        </w:rPr>
        <w:t xml:space="preserve">parezca alguna causal de improcedencia </w:t>
      </w:r>
      <w:r w:rsidRPr="00B73E8B">
        <w:rPr>
          <w:rFonts w:ascii="Palatino Linotype" w:eastAsia="MS Mincho" w:hAnsi="Palatino Linotype" w:cs="Times New Roman"/>
          <w:i/>
          <w:color w:val="000000"/>
        </w:rPr>
        <w:t>en los términos de la presente Ley.</w:t>
      </w:r>
      <w:r>
        <w:rPr>
          <w:rFonts w:ascii="Palatino Linotype" w:eastAsia="MS Mincho" w:hAnsi="Palatino Linotype" w:cs="Times New Roman"/>
          <w:i/>
          <w:color w:val="000000"/>
        </w:rPr>
        <w:t xml:space="preserve">” </w:t>
      </w:r>
    </w:p>
    <w:p w:rsidR="00B862C1" w:rsidRDefault="00B862C1" w:rsidP="00B862C1">
      <w:pPr>
        <w:pStyle w:val="Prrafodelista"/>
        <w:spacing w:before="240" w:after="240" w:line="360" w:lineRule="auto"/>
        <w:ind w:left="0"/>
        <w:jc w:val="both"/>
        <w:rPr>
          <w:rFonts w:ascii="Palatino Linotype" w:hAnsi="Palatino Linotype" w:cs="Arial"/>
          <w:bCs/>
          <w:sz w:val="24"/>
          <w:szCs w:val="24"/>
        </w:rPr>
      </w:pPr>
    </w:p>
    <w:p w:rsidR="00A55FE3" w:rsidRDefault="00A55FE3" w:rsidP="00B862C1">
      <w:pPr>
        <w:pStyle w:val="Prrafodelista"/>
        <w:spacing w:before="240" w:after="240" w:line="360" w:lineRule="auto"/>
        <w:ind w:left="0"/>
        <w:jc w:val="both"/>
        <w:rPr>
          <w:rFonts w:ascii="Palatino Linotype" w:hAnsi="Palatino Linotype" w:cs="Arial"/>
          <w:bCs/>
          <w:sz w:val="24"/>
          <w:szCs w:val="24"/>
        </w:rPr>
      </w:pPr>
    </w:p>
    <w:p w:rsidR="00A55FE3" w:rsidRDefault="00A55FE3" w:rsidP="00B862C1">
      <w:pPr>
        <w:pStyle w:val="Prrafodelista"/>
        <w:spacing w:before="240" w:after="240" w:line="360" w:lineRule="auto"/>
        <w:ind w:left="0"/>
        <w:jc w:val="both"/>
        <w:rPr>
          <w:rFonts w:ascii="Palatino Linotype" w:hAnsi="Palatino Linotype" w:cs="Arial"/>
          <w:bCs/>
          <w:sz w:val="24"/>
          <w:szCs w:val="24"/>
        </w:rPr>
      </w:pPr>
    </w:p>
    <w:p w:rsidR="000C289F" w:rsidRPr="00915F7F" w:rsidRDefault="000C289F" w:rsidP="00F51F8F">
      <w:pPr>
        <w:pStyle w:val="Prrafodelista"/>
        <w:numPr>
          <w:ilvl w:val="0"/>
          <w:numId w:val="11"/>
        </w:numPr>
        <w:spacing w:before="240" w:after="240" w:line="360" w:lineRule="auto"/>
        <w:ind w:left="0"/>
        <w:jc w:val="both"/>
        <w:rPr>
          <w:rFonts w:ascii="Palatino Linotype" w:hAnsi="Palatino Linotype" w:cs="Arial"/>
          <w:bCs/>
          <w:sz w:val="24"/>
          <w:szCs w:val="24"/>
        </w:rPr>
      </w:pPr>
      <w:r w:rsidRPr="00915F7F">
        <w:rPr>
          <w:rFonts w:ascii="Palatino Linotype" w:hAnsi="Palatino Linotype" w:cs="Arial"/>
          <w:bCs/>
          <w:sz w:val="24"/>
          <w:szCs w:val="24"/>
        </w:rPr>
        <w:lastRenderedPageBreak/>
        <w:t>De las consideraciones señaladas</w:t>
      </w:r>
      <w:r w:rsidR="00A55FE3">
        <w:rPr>
          <w:rFonts w:ascii="Palatino Linotype" w:hAnsi="Palatino Linotype" w:cs="Arial"/>
          <w:bCs/>
          <w:sz w:val="24"/>
          <w:szCs w:val="24"/>
        </w:rPr>
        <w:t xml:space="preserve"> se deduce que la Ley de Transparencia claramente señala que si una vez admitido el recurso de revisión apareciere alguna causal de improcedencia, este será sobreseído, por lo que no debió resolverse con fundamento la fracción V del artículo citado que establece “…</w:t>
      </w:r>
      <w:r w:rsidR="00A55FE3">
        <w:rPr>
          <w:rFonts w:ascii="Palatino Linotype" w:hAnsi="Palatino Linotype" w:cs="Arial"/>
          <w:bCs/>
          <w:i/>
          <w:sz w:val="24"/>
          <w:szCs w:val="24"/>
        </w:rPr>
        <w:t>Cuando por cualquier motivo quede sin materia el recurso”,</w:t>
      </w:r>
      <w:r w:rsidRPr="00915F7F">
        <w:rPr>
          <w:rFonts w:ascii="Palatino Linotype" w:hAnsi="Palatino Linotype"/>
          <w:sz w:val="24"/>
          <w:szCs w:val="24"/>
        </w:rPr>
        <w:t xml:space="preserve"> </w:t>
      </w:r>
      <w:r w:rsidRPr="00915F7F">
        <w:rPr>
          <w:rFonts w:ascii="Palatino Linotype" w:hAnsi="Palatino Linotype" w:cs="Arial"/>
          <w:sz w:val="24"/>
          <w:szCs w:val="24"/>
        </w:rPr>
        <w:t>ya que actuar como se propo</w:t>
      </w:r>
      <w:r w:rsidR="00A55FE3">
        <w:rPr>
          <w:rFonts w:ascii="Palatino Linotype" w:hAnsi="Palatino Linotype" w:cs="Arial"/>
          <w:sz w:val="24"/>
          <w:szCs w:val="24"/>
        </w:rPr>
        <w:t xml:space="preserve">ne en la resolución resulta una contradicción con el desarrollo de la resolución. </w:t>
      </w:r>
    </w:p>
    <w:p w:rsidR="000C289F" w:rsidRPr="00915F7F" w:rsidRDefault="000C289F" w:rsidP="000C289F">
      <w:pPr>
        <w:spacing w:line="360" w:lineRule="auto"/>
        <w:ind w:left="851" w:right="616"/>
        <w:jc w:val="both"/>
        <w:rPr>
          <w:rFonts w:ascii="Palatino Linotype" w:hAnsi="Palatino Linotype" w:cs="Arial"/>
          <w:i/>
          <w:color w:val="000000" w:themeColor="text1"/>
          <w:sz w:val="24"/>
          <w:szCs w:val="24"/>
        </w:rPr>
      </w:pPr>
    </w:p>
    <w:p w:rsidR="000C289F" w:rsidRPr="00915F7F" w:rsidRDefault="000C289F" w:rsidP="000C289F">
      <w:pPr>
        <w:spacing w:line="360" w:lineRule="auto"/>
        <w:rPr>
          <w:rFonts w:ascii="Palatino Linotype" w:hAnsi="Palatino Linotype" w:cs="Arial"/>
          <w:color w:val="000000" w:themeColor="text1"/>
          <w:sz w:val="24"/>
          <w:szCs w:val="24"/>
        </w:rPr>
      </w:pPr>
    </w:p>
    <w:p w:rsidR="000C289F" w:rsidRPr="00915F7F" w:rsidRDefault="000C289F" w:rsidP="000C289F">
      <w:pPr>
        <w:spacing w:line="360" w:lineRule="auto"/>
        <w:jc w:val="center"/>
        <w:rPr>
          <w:rFonts w:ascii="Palatino Linotype" w:eastAsia="Calibri" w:hAnsi="Palatino Linotype" w:cs="Arial"/>
          <w:b/>
          <w:color w:val="000000" w:themeColor="text1"/>
          <w:sz w:val="24"/>
          <w:szCs w:val="24"/>
        </w:rPr>
      </w:pPr>
      <w:r w:rsidRPr="00915F7F">
        <w:rPr>
          <w:rFonts w:ascii="Palatino Linotype" w:eastAsia="Calibri" w:hAnsi="Palatino Linotype" w:cs="Arial"/>
          <w:b/>
          <w:color w:val="000000" w:themeColor="text1"/>
          <w:sz w:val="24"/>
          <w:szCs w:val="24"/>
        </w:rPr>
        <w:t>JOSÉ GUADALUPE LUNA HERNÁNDEZ</w:t>
      </w:r>
    </w:p>
    <w:p w:rsidR="000C289F" w:rsidRPr="00915F7F" w:rsidRDefault="000C289F" w:rsidP="000C289F">
      <w:pPr>
        <w:spacing w:line="360" w:lineRule="auto"/>
        <w:jc w:val="center"/>
        <w:rPr>
          <w:rFonts w:ascii="Palatino Linotype" w:eastAsia="Calibri" w:hAnsi="Palatino Linotype" w:cs="Arial"/>
          <w:b/>
          <w:color w:val="000000" w:themeColor="text1"/>
          <w:sz w:val="24"/>
          <w:szCs w:val="24"/>
        </w:rPr>
      </w:pPr>
      <w:r w:rsidRPr="00915F7F">
        <w:rPr>
          <w:rFonts w:ascii="Palatino Linotype" w:eastAsia="Calibri" w:hAnsi="Palatino Linotype" w:cs="Arial"/>
          <w:b/>
          <w:color w:val="000000" w:themeColor="text1"/>
          <w:sz w:val="24"/>
          <w:szCs w:val="24"/>
        </w:rPr>
        <w:t>COMISIONADO</w:t>
      </w:r>
    </w:p>
    <w:p w:rsidR="000C289F" w:rsidRPr="00915F7F" w:rsidRDefault="000C289F" w:rsidP="000C289F">
      <w:pPr>
        <w:spacing w:line="360" w:lineRule="auto"/>
        <w:jc w:val="center"/>
        <w:rPr>
          <w:rFonts w:ascii="Palatino Linotype" w:hAnsi="Palatino Linotype" w:cs="Arial"/>
          <w:b/>
          <w:color w:val="000000" w:themeColor="text1"/>
          <w:sz w:val="24"/>
          <w:szCs w:val="24"/>
        </w:rPr>
      </w:pPr>
      <w:r w:rsidRPr="00915F7F">
        <w:rPr>
          <w:rFonts w:ascii="Palatino Linotype" w:eastAsia="Calibri" w:hAnsi="Palatino Linotype" w:cs="Arial"/>
          <w:b/>
          <w:color w:val="000000" w:themeColor="text1"/>
          <w:sz w:val="24"/>
          <w:szCs w:val="24"/>
        </w:rPr>
        <w:t>(Rúbrica)</w:t>
      </w:r>
    </w:p>
    <w:p w:rsidR="000C289F" w:rsidRPr="00915F7F" w:rsidRDefault="000C289F" w:rsidP="00F51F8F">
      <w:pPr>
        <w:pStyle w:val="Prrafodelista"/>
        <w:spacing w:before="240" w:after="240" w:line="360" w:lineRule="auto"/>
        <w:ind w:left="0"/>
        <w:jc w:val="both"/>
        <w:rPr>
          <w:rFonts w:ascii="Palatino Linotype" w:hAnsi="Palatino Linotype"/>
          <w:sz w:val="24"/>
          <w:szCs w:val="24"/>
        </w:rPr>
      </w:pPr>
    </w:p>
    <w:p w:rsidR="000C289F" w:rsidRDefault="000C289F" w:rsidP="000C289F">
      <w:pPr>
        <w:rPr>
          <w:rFonts w:ascii="Palatino Linotype" w:hAnsi="Palatino Linotype"/>
          <w:sz w:val="24"/>
          <w:szCs w:val="24"/>
        </w:rPr>
      </w:pPr>
    </w:p>
    <w:p w:rsidR="00A55FE3" w:rsidRPr="00915F7F" w:rsidRDefault="00A55FE3" w:rsidP="000C289F">
      <w:pPr>
        <w:rPr>
          <w:rFonts w:ascii="Palatino Linotype" w:hAnsi="Palatino Linotype"/>
          <w:sz w:val="24"/>
          <w:szCs w:val="24"/>
        </w:rPr>
      </w:pPr>
    </w:p>
    <w:p w:rsidR="00625340" w:rsidRPr="00A55FE3" w:rsidRDefault="000D4F51" w:rsidP="000C289F">
      <w:pPr>
        <w:pStyle w:val="Prrafodelista"/>
        <w:spacing w:after="0" w:line="360" w:lineRule="auto"/>
        <w:ind w:left="0"/>
        <w:jc w:val="both"/>
        <w:rPr>
          <w:rFonts w:ascii="Palatino Linotype" w:eastAsia="Calibri" w:hAnsi="Palatino Linotype" w:cs="Arial"/>
        </w:rPr>
      </w:pPr>
      <w:r w:rsidRPr="00A55FE3">
        <w:rPr>
          <w:rFonts w:ascii="Palatino Linotype" w:eastAsia="Calibri" w:hAnsi="Palatino Linotype" w:cs="Arial"/>
        </w:rPr>
        <w:t>SAPV/SEV</w:t>
      </w:r>
    </w:p>
    <w:sectPr w:rsidR="00625340" w:rsidRPr="00A55FE3"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48B" w:rsidRDefault="000C648B" w:rsidP="00DC559A">
      <w:pPr>
        <w:spacing w:after="0" w:line="240" w:lineRule="auto"/>
      </w:pPr>
      <w:r>
        <w:separator/>
      </w:r>
    </w:p>
  </w:endnote>
  <w:endnote w:type="continuationSeparator" w:id="0">
    <w:p w:rsidR="000C648B" w:rsidRDefault="000C648B"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28E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28EE">
              <w:rPr>
                <w:b/>
                <w:bCs/>
                <w:noProof/>
              </w:rPr>
              <w:t>13</w:t>
            </w:r>
            <w:r>
              <w:rPr>
                <w:b/>
                <w:bCs/>
                <w:sz w:val="24"/>
                <w:szCs w:val="24"/>
              </w:rPr>
              <w:fldChar w:fldCharType="end"/>
            </w:r>
          </w:p>
        </w:sdtContent>
      </w:sdt>
    </w:sdtContent>
  </w:sdt>
  <w:p w:rsidR="00951E8B" w:rsidRDefault="008228EE"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48B" w:rsidRDefault="000C648B" w:rsidP="00DC559A">
      <w:pPr>
        <w:spacing w:after="0" w:line="240" w:lineRule="auto"/>
      </w:pPr>
      <w:r>
        <w:separator/>
      </w:r>
    </w:p>
  </w:footnote>
  <w:footnote w:type="continuationSeparator" w:id="0">
    <w:p w:rsidR="000C648B" w:rsidRDefault="000C648B" w:rsidP="00DC559A">
      <w:pPr>
        <w:spacing w:after="0" w:line="240" w:lineRule="auto"/>
      </w:pPr>
      <w:r>
        <w:continuationSeparator/>
      </w:r>
    </w:p>
  </w:footnote>
  <w:footnote w:id="1">
    <w:p w:rsidR="00915F7F" w:rsidRPr="0030046C" w:rsidRDefault="00915F7F" w:rsidP="00915F7F">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COSSÍO DÍAZ, José Ramón. “Cuestiones constitucionales. División de poderes y tribunales constitucionales”. Revista Este País, No. 78, Septiembre de 1997.</w:t>
      </w:r>
    </w:p>
  </w:footnote>
  <w:footnote w:id="2">
    <w:p w:rsidR="00915F7F" w:rsidRPr="0030046C" w:rsidRDefault="00915F7F" w:rsidP="00915F7F">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SAGÜÉS, Néstor Pedro. Teoría de la Constitución. Buenos Aires, Ed. </w:t>
      </w:r>
      <w:proofErr w:type="spellStart"/>
      <w:r w:rsidRPr="0030046C">
        <w:rPr>
          <w:rFonts w:ascii="Arial" w:hAnsi="Arial" w:cs="Arial"/>
        </w:rPr>
        <w:t>Astrea</w:t>
      </w:r>
      <w:proofErr w:type="spellEnd"/>
      <w:r w:rsidRPr="0030046C">
        <w:rPr>
          <w:rFonts w:ascii="Arial" w:hAnsi="Arial" w:cs="Arial"/>
        </w:rPr>
        <w:t>. 2004.  Pág. 463.</w:t>
      </w:r>
    </w:p>
  </w:footnote>
  <w:footnote w:id="3">
    <w:p w:rsidR="00915F7F" w:rsidRPr="0030046C" w:rsidRDefault="00915F7F" w:rsidP="00915F7F">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BREWER CARÍAS, ALLAN B. </w:t>
      </w:r>
      <w:r w:rsidRPr="0030046C">
        <w:rPr>
          <w:rFonts w:ascii="Arial" w:hAnsi="Arial" w:cs="Arial"/>
          <w:i/>
        </w:rPr>
        <w:t>La justicia constitucional (Procesos y procedimientos constitucionales).</w:t>
      </w:r>
      <w:r w:rsidRPr="0030046C">
        <w:rPr>
          <w:rFonts w:ascii="Arial" w:hAnsi="Arial" w:cs="Arial"/>
        </w:rPr>
        <w:t xml:space="preserve"> México, </w:t>
      </w:r>
      <w:proofErr w:type="spellStart"/>
      <w:r w:rsidRPr="0030046C">
        <w:rPr>
          <w:rFonts w:ascii="Arial" w:hAnsi="Arial" w:cs="Arial"/>
        </w:rPr>
        <w:t>Coed</w:t>
      </w:r>
      <w:proofErr w:type="spellEnd"/>
      <w:r w:rsidRPr="0030046C">
        <w:rPr>
          <w:rFonts w:ascii="Arial" w:hAnsi="Arial" w:cs="Arial"/>
        </w:rPr>
        <w:t>. Porrúa e Instituto Mexicano de Derecho Procesal Constitucional. 2007. Pág.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28E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28EE">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8228E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8228E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770CA1"/>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E95D13"/>
    <w:multiLevelType w:val="hybridMultilevel"/>
    <w:tmpl w:val="3AA0954A"/>
    <w:lvl w:ilvl="0" w:tplc="84260FB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5028DE"/>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D6D3667"/>
    <w:multiLevelType w:val="hybridMultilevel"/>
    <w:tmpl w:val="1F6CB39A"/>
    <w:lvl w:ilvl="0" w:tplc="AEA438FE">
      <w:start w:val="11"/>
      <w:numFmt w:val="decimal"/>
      <w:lvlText w:val="%1."/>
      <w:lvlJc w:val="left"/>
      <w:pPr>
        <w:ind w:left="4897" w:hanging="360"/>
      </w:pPr>
      <w:rPr>
        <w:rFonts w:ascii="Palatino Linotype" w:eastAsia="Calibri" w:hAnsi="Palatino Linotype"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4"/>
  </w:num>
  <w:num w:numId="2">
    <w:abstractNumId w:val="1"/>
  </w:num>
  <w:num w:numId="3">
    <w:abstractNumId w:val="16"/>
  </w:num>
  <w:num w:numId="4">
    <w:abstractNumId w:val="7"/>
  </w:num>
  <w:num w:numId="5">
    <w:abstractNumId w:val="22"/>
  </w:num>
  <w:num w:numId="6">
    <w:abstractNumId w:val="8"/>
  </w:num>
  <w:num w:numId="7">
    <w:abstractNumId w:val="21"/>
  </w:num>
  <w:num w:numId="8">
    <w:abstractNumId w:val="18"/>
  </w:num>
  <w:num w:numId="9">
    <w:abstractNumId w:val="5"/>
  </w:num>
  <w:num w:numId="10">
    <w:abstractNumId w:val="3"/>
  </w:num>
  <w:num w:numId="11">
    <w:abstractNumId w:val="6"/>
  </w:num>
  <w:num w:numId="12">
    <w:abstractNumId w:val="11"/>
  </w:num>
  <w:num w:numId="13">
    <w:abstractNumId w:val="12"/>
  </w:num>
  <w:num w:numId="14">
    <w:abstractNumId w:val="19"/>
  </w:num>
  <w:num w:numId="15">
    <w:abstractNumId w:val="0"/>
  </w:num>
  <w:num w:numId="16">
    <w:abstractNumId w:val="13"/>
  </w:num>
  <w:num w:numId="17">
    <w:abstractNumId w:val="4"/>
  </w:num>
  <w:num w:numId="18">
    <w:abstractNumId w:val="24"/>
  </w:num>
  <w:num w:numId="19">
    <w:abstractNumId w:val="9"/>
  </w:num>
  <w:num w:numId="20">
    <w:abstractNumId w:val="2"/>
  </w:num>
  <w:num w:numId="21">
    <w:abstractNumId w:val="17"/>
  </w:num>
  <w:num w:numId="22">
    <w:abstractNumId w:val="23"/>
  </w:num>
  <w:num w:numId="23">
    <w:abstractNumId w:val="15"/>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0EE3"/>
    <w:rsid w:val="00001E80"/>
    <w:rsid w:val="00005556"/>
    <w:rsid w:val="00013F62"/>
    <w:rsid w:val="000227F4"/>
    <w:rsid w:val="00026199"/>
    <w:rsid w:val="0002684D"/>
    <w:rsid w:val="00037C7C"/>
    <w:rsid w:val="00064D2B"/>
    <w:rsid w:val="000C289F"/>
    <w:rsid w:val="000C648B"/>
    <w:rsid w:val="000D4F51"/>
    <w:rsid w:val="000D5811"/>
    <w:rsid w:val="000D79A0"/>
    <w:rsid w:val="000E43AB"/>
    <w:rsid w:val="000F4071"/>
    <w:rsid w:val="00113A96"/>
    <w:rsid w:val="00123E1D"/>
    <w:rsid w:val="001273B6"/>
    <w:rsid w:val="00134DA0"/>
    <w:rsid w:val="00141135"/>
    <w:rsid w:val="00145961"/>
    <w:rsid w:val="001620F1"/>
    <w:rsid w:val="00175E9F"/>
    <w:rsid w:val="0018271F"/>
    <w:rsid w:val="00183A1B"/>
    <w:rsid w:val="00187E2D"/>
    <w:rsid w:val="001B78B7"/>
    <w:rsid w:val="001D09E6"/>
    <w:rsid w:val="001D465C"/>
    <w:rsid w:val="001E65D5"/>
    <w:rsid w:val="00203EB6"/>
    <w:rsid w:val="0020553B"/>
    <w:rsid w:val="00220BB9"/>
    <w:rsid w:val="00225758"/>
    <w:rsid w:val="002376B4"/>
    <w:rsid w:val="00260A10"/>
    <w:rsid w:val="00267F73"/>
    <w:rsid w:val="00274EF3"/>
    <w:rsid w:val="00284349"/>
    <w:rsid w:val="0028726F"/>
    <w:rsid w:val="00293993"/>
    <w:rsid w:val="002948E5"/>
    <w:rsid w:val="002B4023"/>
    <w:rsid w:val="002D63B3"/>
    <w:rsid w:val="00300947"/>
    <w:rsid w:val="00323DF8"/>
    <w:rsid w:val="00325547"/>
    <w:rsid w:val="003276B7"/>
    <w:rsid w:val="00336BC3"/>
    <w:rsid w:val="0034151E"/>
    <w:rsid w:val="003431E5"/>
    <w:rsid w:val="0036287F"/>
    <w:rsid w:val="00384C92"/>
    <w:rsid w:val="003916ED"/>
    <w:rsid w:val="00393382"/>
    <w:rsid w:val="0039566E"/>
    <w:rsid w:val="003B6EC6"/>
    <w:rsid w:val="003C7564"/>
    <w:rsid w:val="00432104"/>
    <w:rsid w:val="00435284"/>
    <w:rsid w:val="00445C1E"/>
    <w:rsid w:val="00465D03"/>
    <w:rsid w:val="004665BF"/>
    <w:rsid w:val="004769F5"/>
    <w:rsid w:val="0048383C"/>
    <w:rsid w:val="004A69D6"/>
    <w:rsid w:val="004B4E07"/>
    <w:rsid w:val="004C3125"/>
    <w:rsid w:val="004C3FC8"/>
    <w:rsid w:val="004C73FB"/>
    <w:rsid w:val="004D1010"/>
    <w:rsid w:val="004D786C"/>
    <w:rsid w:val="004F3292"/>
    <w:rsid w:val="00517976"/>
    <w:rsid w:val="005429BB"/>
    <w:rsid w:val="00546237"/>
    <w:rsid w:val="005471F8"/>
    <w:rsid w:val="0056327C"/>
    <w:rsid w:val="00570DFF"/>
    <w:rsid w:val="00571B97"/>
    <w:rsid w:val="00585BED"/>
    <w:rsid w:val="0059666F"/>
    <w:rsid w:val="005A4257"/>
    <w:rsid w:val="005E6A45"/>
    <w:rsid w:val="00611AB9"/>
    <w:rsid w:val="00625340"/>
    <w:rsid w:val="00676A74"/>
    <w:rsid w:val="006773C0"/>
    <w:rsid w:val="006A65B0"/>
    <w:rsid w:val="006C01EB"/>
    <w:rsid w:val="006D22C2"/>
    <w:rsid w:val="006E3151"/>
    <w:rsid w:val="006E4346"/>
    <w:rsid w:val="006E7A8B"/>
    <w:rsid w:val="006F18A4"/>
    <w:rsid w:val="00703F02"/>
    <w:rsid w:val="00712288"/>
    <w:rsid w:val="0071438F"/>
    <w:rsid w:val="00764FF6"/>
    <w:rsid w:val="00771D7C"/>
    <w:rsid w:val="00781495"/>
    <w:rsid w:val="0078520D"/>
    <w:rsid w:val="0078690A"/>
    <w:rsid w:val="00794169"/>
    <w:rsid w:val="007A13C3"/>
    <w:rsid w:val="007A6841"/>
    <w:rsid w:val="007B4C9B"/>
    <w:rsid w:val="007D5A9C"/>
    <w:rsid w:val="0080411B"/>
    <w:rsid w:val="00810E9A"/>
    <w:rsid w:val="00815B5D"/>
    <w:rsid w:val="008228EE"/>
    <w:rsid w:val="00841881"/>
    <w:rsid w:val="00870BA6"/>
    <w:rsid w:val="008946FB"/>
    <w:rsid w:val="008A491D"/>
    <w:rsid w:val="008B4955"/>
    <w:rsid w:val="008B5653"/>
    <w:rsid w:val="008F435F"/>
    <w:rsid w:val="00900C7B"/>
    <w:rsid w:val="00915F7F"/>
    <w:rsid w:val="0092289B"/>
    <w:rsid w:val="00927436"/>
    <w:rsid w:val="00934555"/>
    <w:rsid w:val="00963FCC"/>
    <w:rsid w:val="00964B55"/>
    <w:rsid w:val="009749F9"/>
    <w:rsid w:val="00992F9E"/>
    <w:rsid w:val="009B6AAE"/>
    <w:rsid w:val="009C6D1F"/>
    <w:rsid w:val="009E08AF"/>
    <w:rsid w:val="009F3B61"/>
    <w:rsid w:val="009F70C5"/>
    <w:rsid w:val="009F7309"/>
    <w:rsid w:val="00A11153"/>
    <w:rsid w:val="00A12892"/>
    <w:rsid w:val="00A143D1"/>
    <w:rsid w:val="00A37917"/>
    <w:rsid w:val="00A55FE3"/>
    <w:rsid w:val="00A57446"/>
    <w:rsid w:val="00A66803"/>
    <w:rsid w:val="00A801BF"/>
    <w:rsid w:val="00A828B4"/>
    <w:rsid w:val="00A912FC"/>
    <w:rsid w:val="00A947EF"/>
    <w:rsid w:val="00AA45BE"/>
    <w:rsid w:val="00AA683B"/>
    <w:rsid w:val="00AC07BB"/>
    <w:rsid w:val="00AC37F9"/>
    <w:rsid w:val="00AC4B5E"/>
    <w:rsid w:val="00AC6B6E"/>
    <w:rsid w:val="00AD01CF"/>
    <w:rsid w:val="00AD48A0"/>
    <w:rsid w:val="00AE30E5"/>
    <w:rsid w:val="00AE455C"/>
    <w:rsid w:val="00AE7918"/>
    <w:rsid w:val="00AF2C7B"/>
    <w:rsid w:val="00AF72FF"/>
    <w:rsid w:val="00B02F56"/>
    <w:rsid w:val="00B14EBC"/>
    <w:rsid w:val="00B17543"/>
    <w:rsid w:val="00B43601"/>
    <w:rsid w:val="00B47F96"/>
    <w:rsid w:val="00B75E0A"/>
    <w:rsid w:val="00B862C1"/>
    <w:rsid w:val="00B87289"/>
    <w:rsid w:val="00BB5AE2"/>
    <w:rsid w:val="00BC3314"/>
    <w:rsid w:val="00BD29B2"/>
    <w:rsid w:val="00BD586B"/>
    <w:rsid w:val="00BE26FB"/>
    <w:rsid w:val="00BE6E85"/>
    <w:rsid w:val="00BF0ED2"/>
    <w:rsid w:val="00C02AF0"/>
    <w:rsid w:val="00C230CB"/>
    <w:rsid w:val="00C60B48"/>
    <w:rsid w:val="00CA1D90"/>
    <w:rsid w:val="00CD3FD7"/>
    <w:rsid w:val="00CD49FA"/>
    <w:rsid w:val="00CD77B9"/>
    <w:rsid w:val="00CD7FE5"/>
    <w:rsid w:val="00CE64A4"/>
    <w:rsid w:val="00CF05D3"/>
    <w:rsid w:val="00D02606"/>
    <w:rsid w:val="00D4328A"/>
    <w:rsid w:val="00D4396D"/>
    <w:rsid w:val="00D60041"/>
    <w:rsid w:val="00D6076C"/>
    <w:rsid w:val="00D62508"/>
    <w:rsid w:val="00D91003"/>
    <w:rsid w:val="00DA75B8"/>
    <w:rsid w:val="00DC35D1"/>
    <w:rsid w:val="00DC559A"/>
    <w:rsid w:val="00DC7774"/>
    <w:rsid w:val="00DE456D"/>
    <w:rsid w:val="00E015EC"/>
    <w:rsid w:val="00E40A86"/>
    <w:rsid w:val="00E52153"/>
    <w:rsid w:val="00E61BE7"/>
    <w:rsid w:val="00E661C7"/>
    <w:rsid w:val="00E76D68"/>
    <w:rsid w:val="00E85FDE"/>
    <w:rsid w:val="00E940EB"/>
    <w:rsid w:val="00E94D66"/>
    <w:rsid w:val="00E96644"/>
    <w:rsid w:val="00E974FA"/>
    <w:rsid w:val="00ED4F35"/>
    <w:rsid w:val="00EF5CBC"/>
    <w:rsid w:val="00F02D41"/>
    <w:rsid w:val="00F072AC"/>
    <w:rsid w:val="00F11351"/>
    <w:rsid w:val="00F12DC5"/>
    <w:rsid w:val="00F15522"/>
    <w:rsid w:val="00F237C4"/>
    <w:rsid w:val="00F313D4"/>
    <w:rsid w:val="00F3485F"/>
    <w:rsid w:val="00F358A9"/>
    <w:rsid w:val="00F36ACA"/>
    <w:rsid w:val="00F4017D"/>
    <w:rsid w:val="00F42DD4"/>
    <w:rsid w:val="00F51F8F"/>
    <w:rsid w:val="00F54D5C"/>
    <w:rsid w:val="00F62245"/>
    <w:rsid w:val="00F72C33"/>
    <w:rsid w:val="00F74AB6"/>
    <w:rsid w:val="00F77A03"/>
    <w:rsid w:val="00F83D56"/>
    <w:rsid w:val="00F84DA1"/>
    <w:rsid w:val="00F96926"/>
    <w:rsid w:val="00FA00F2"/>
    <w:rsid w:val="00FA4229"/>
    <w:rsid w:val="00FA79F7"/>
    <w:rsid w:val="00FC3ED9"/>
    <w:rsid w:val="00FE762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aliases w:val="Footnote reference,FA Fu,Footnote Text Char Char Char Char Char,Footnote Text Char Char Char Char,Footnote Text Char Char Char"/>
    <w:basedOn w:val="Normal"/>
    <w:link w:val="TextonotapieCar"/>
    <w:unhideWhenUsed/>
    <w:rsid w:val="00DC559A"/>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rsid w:val="000C289F"/>
    <w:pPr>
      <w:spacing w:after="101" w:line="216" w:lineRule="atLeast"/>
      <w:ind w:firstLine="288"/>
      <w:jc w:val="both"/>
    </w:pPr>
    <w:rPr>
      <w:rFonts w:ascii="Arial" w:eastAsia="Times New Roman" w:hAnsi="Arial" w:cs="Arial"/>
      <w:sz w:val="18"/>
      <w:szCs w:val="18"/>
      <w:lang w:eastAsia="es-MX"/>
    </w:rPr>
  </w:style>
  <w:style w:type="paragraph" w:styleId="TDC2">
    <w:name w:val="toc 2"/>
    <w:basedOn w:val="Normal"/>
    <w:next w:val="Normal"/>
    <w:autoRedefine/>
    <w:uiPriority w:val="39"/>
    <w:unhideWhenUsed/>
    <w:rsid w:val="00F51F8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8BEA-01CA-4744-A20C-26ADE70F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2658</Words>
  <Characters>14619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4</cp:revision>
  <cp:lastPrinted>2017-11-02T00:23:00Z</cp:lastPrinted>
  <dcterms:created xsi:type="dcterms:W3CDTF">2018-12-12T23:26:00Z</dcterms:created>
  <dcterms:modified xsi:type="dcterms:W3CDTF">2019-01-18T01:36:00Z</dcterms:modified>
</cp:coreProperties>
</file>